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5E" w:rsidRPr="00A86007" w:rsidRDefault="005313D2" w:rsidP="00A86007">
      <w:pPr>
        <w:adjustRightInd w:val="0"/>
        <w:snapToGrid w:val="0"/>
        <w:spacing w:beforeLines="50" w:before="180"/>
        <w:jc w:val="center"/>
        <w:rPr>
          <w:rFonts w:ascii="標楷體" w:eastAsia="標楷體" w:hAnsi="標楷體"/>
          <w:b/>
          <w:color w:val="000000"/>
          <w:sz w:val="32"/>
          <w:szCs w:val="28"/>
        </w:rPr>
      </w:pPr>
      <w:r>
        <w:rPr>
          <w:rFonts w:ascii="標楷體" w:eastAsia="標楷體" w:hAnsi="標楷體" w:hint="eastAsia"/>
          <w:b/>
          <w:color w:val="000000"/>
          <w:sz w:val="32"/>
          <w:szCs w:val="28"/>
        </w:rPr>
        <w:t>近期</w:t>
      </w:r>
      <w:r w:rsidRPr="005313D2">
        <w:rPr>
          <w:rFonts w:ascii="標楷體" w:eastAsia="標楷體" w:hAnsi="標楷體" w:hint="eastAsia"/>
          <w:b/>
          <w:color w:val="000000"/>
          <w:sz w:val="32"/>
          <w:szCs w:val="28"/>
        </w:rPr>
        <w:t>先進鋼廠重要</w:t>
      </w:r>
      <w:r>
        <w:rPr>
          <w:rFonts w:ascii="標楷體" w:eastAsia="標楷體" w:hAnsi="標楷體" w:hint="eastAsia"/>
          <w:b/>
          <w:color w:val="000000"/>
          <w:sz w:val="32"/>
          <w:szCs w:val="28"/>
        </w:rPr>
        <w:t>減碳</w:t>
      </w:r>
      <w:r w:rsidRPr="005313D2">
        <w:rPr>
          <w:rFonts w:ascii="標楷體" w:eastAsia="標楷體" w:hAnsi="標楷體" w:hint="eastAsia"/>
          <w:b/>
          <w:color w:val="000000"/>
          <w:sz w:val="32"/>
          <w:szCs w:val="28"/>
        </w:rPr>
        <w:t>專利</w:t>
      </w:r>
      <w:r>
        <w:rPr>
          <w:rFonts w:ascii="標楷體" w:eastAsia="標楷體" w:hAnsi="標楷體" w:hint="eastAsia"/>
          <w:b/>
          <w:color w:val="000000"/>
          <w:sz w:val="32"/>
          <w:szCs w:val="28"/>
        </w:rPr>
        <w:t>技術</w:t>
      </w:r>
      <w:r w:rsidRPr="005313D2">
        <w:rPr>
          <w:rFonts w:ascii="標楷體" w:eastAsia="標楷體" w:hAnsi="標楷體" w:hint="eastAsia"/>
          <w:b/>
          <w:color w:val="000000"/>
          <w:sz w:val="32"/>
          <w:szCs w:val="28"/>
        </w:rPr>
        <w:t>解析</w:t>
      </w:r>
    </w:p>
    <w:p w:rsidR="004D095F" w:rsidRPr="00A86007" w:rsidRDefault="00DA7D12" w:rsidP="00C15E51">
      <w:pPr>
        <w:wordWrap w:val="0"/>
        <w:adjustRightInd w:val="0"/>
        <w:snapToGrid w:val="0"/>
        <w:spacing w:beforeLines="50" w:before="180"/>
        <w:jc w:val="right"/>
        <w:rPr>
          <w:rFonts w:ascii="標楷體" w:eastAsia="標楷體" w:hAnsi="標楷體"/>
          <w:color w:val="000000"/>
          <w:sz w:val="28"/>
          <w:szCs w:val="28"/>
        </w:rPr>
      </w:pPr>
      <w:r w:rsidRPr="00A86007">
        <w:rPr>
          <w:rFonts w:ascii="標楷體" w:eastAsia="標楷體" w:hAnsi="標楷體" w:hint="eastAsia"/>
          <w:color w:val="000000"/>
          <w:sz w:val="28"/>
          <w:szCs w:val="28"/>
        </w:rPr>
        <w:t>T</w:t>
      </w:r>
      <w:r w:rsidRPr="00A86007">
        <w:rPr>
          <w:rFonts w:ascii="標楷體" w:eastAsia="標楷體" w:hAnsi="標楷體"/>
          <w:color w:val="000000"/>
          <w:sz w:val="28"/>
          <w:szCs w:val="28"/>
        </w:rPr>
        <w:t>41</w:t>
      </w:r>
      <w:r w:rsidR="00E43F3A" w:rsidRPr="00A86007">
        <w:rPr>
          <w:rFonts w:ascii="標楷體" w:eastAsia="標楷體" w:hAnsi="標楷體" w:hint="eastAsia"/>
          <w:color w:val="000000"/>
          <w:sz w:val="28"/>
          <w:szCs w:val="28"/>
        </w:rPr>
        <w:t>范乃妍</w:t>
      </w:r>
      <w:r w:rsidR="006401FA" w:rsidRPr="00B46519">
        <w:rPr>
          <w:rFonts w:ascii="標楷體" w:eastAsia="標楷體" w:hAnsi="標楷體" w:hint="eastAsia"/>
          <w:color w:val="000000"/>
          <w:sz w:val="28"/>
          <w:szCs w:val="28"/>
        </w:rPr>
        <w:t xml:space="preserve"> 1</w:t>
      </w:r>
      <w:r w:rsidR="006401FA">
        <w:rPr>
          <w:rFonts w:ascii="標楷體" w:eastAsia="標楷體" w:hAnsi="標楷體" w:hint="eastAsia"/>
          <w:color w:val="000000"/>
          <w:sz w:val="28"/>
          <w:szCs w:val="28"/>
        </w:rPr>
        <w:t>13.</w:t>
      </w:r>
      <w:r w:rsidR="00A211E3">
        <w:rPr>
          <w:rFonts w:ascii="標楷體" w:eastAsia="標楷體" w:hAnsi="標楷體" w:hint="eastAsia"/>
          <w:color w:val="000000"/>
          <w:sz w:val="28"/>
          <w:szCs w:val="28"/>
        </w:rPr>
        <w:t>12.1</w:t>
      </w:r>
      <w:r w:rsidR="00FB657F">
        <w:rPr>
          <w:rFonts w:ascii="標楷體" w:eastAsia="標楷體" w:hAnsi="標楷體" w:hint="eastAsia"/>
          <w:color w:val="000000"/>
          <w:sz w:val="28"/>
          <w:szCs w:val="28"/>
        </w:rPr>
        <w:t>9</w:t>
      </w:r>
    </w:p>
    <w:p w:rsidR="00226765" w:rsidRPr="004A10D4" w:rsidRDefault="00E10B86" w:rsidP="00622404">
      <w:pPr>
        <w:adjustRightInd w:val="0"/>
        <w:snapToGrid w:val="0"/>
        <w:spacing w:beforeLines="50" w:before="180" w:line="400" w:lineRule="exact"/>
        <w:ind w:leftChars="-1" w:hanging="2"/>
        <w:jc w:val="both"/>
        <w:rPr>
          <w:rFonts w:ascii="標楷體" w:eastAsia="標楷體" w:hAnsi="標楷體"/>
          <w:b/>
          <w:bCs/>
          <w:sz w:val="28"/>
          <w:szCs w:val="28"/>
        </w:rPr>
      </w:pPr>
      <w:r>
        <w:rPr>
          <w:rFonts w:ascii="標楷體" w:eastAsia="標楷體" w:hAnsi="標楷體" w:hint="eastAsia"/>
          <w:b/>
          <w:sz w:val="28"/>
          <w:szCs w:val="28"/>
        </w:rPr>
        <w:t>由</w:t>
      </w:r>
      <w:r w:rsidR="00880F7A" w:rsidRPr="00920F6F">
        <w:rPr>
          <w:rFonts w:ascii="標楷體" w:eastAsia="標楷體" w:hAnsi="標楷體" w:hint="eastAsia"/>
          <w:b/>
          <w:sz w:val="28"/>
          <w:szCs w:val="28"/>
        </w:rPr>
        <w:t>世界鋼鐵協會</w:t>
      </w:r>
      <w:r w:rsidR="006B0A80">
        <w:rPr>
          <w:rFonts w:ascii="標楷體" w:eastAsia="標楷體" w:hAnsi="標楷體" w:hint="eastAsia"/>
          <w:b/>
          <w:sz w:val="28"/>
          <w:szCs w:val="28"/>
        </w:rPr>
        <w:t>針</w:t>
      </w:r>
      <w:r w:rsidR="004159D5">
        <w:rPr>
          <w:rFonts w:ascii="標楷體" w:eastAsia="標楷體" w:hAnsi="標楷體" w:hint="eastAsia"/>
          <w:b/>
          <w:sz w:val="28"/>
          <w:szCs w:val="28"/>
        </w:rPr>
        <w:t>對</w:t>
      </w:r>
      <w:r>
        <w:rPr>
          <w:rFonts w:ascii="標楷體" w:eastAsia="標楷體" w:hAnsi="標楷體" w:hint="eastAsia"/>
          <w:b/>
          <w:sz w:val="28"/>
          <w:szCs w:val="28"/>
        </w:rPr>
        <w:t>整體</w:t>
      </w:r>
      <w:r w:rsidRPr="00C5378B">
        <w:rPr>
          <w:rFonts w:ascii="標楷體" w:eastAsia="標楷體" w:hAnsi="標楷體" w:hint="eastAsia"/>
          <w:b/>
          <w:sz w:val="28"/>
          <w:szCs w:val="28"/>
        </w:rPr>
        <w:t>鋼鐵業</w:t>
      </w:r>
      <w:r w:rsidR="004159D5">
        <w:rPr>
          <w:rFonts w:ascii="標楷體" w:eastAsia="標楷體" w:hAnsi="標楷體" w:hint="eastAsia"/>
          <w:b/>
          <w:sz w:val="28"/>
          <w:szCs w:val="28"/>
        </w:rPr>
        <w:t>的CO</w:t>
      </w:r>
      <w:r w:rsidR="004159D5" w:rsidRPr="009A242B">
        <w:rPr>
          <w:rFonts w:ascii="標楷體" w:eastAsia="標楷體" w:hAnsi="標楷體" w:hint="eastAsia"/>
          <w:b/>
          <w:sz w:val="28"/>
          <w:szCs w:val="28"/>
          <w:vertAlign w:val="subscript"/>
        </w:rPr>
        <w:t>2</w:t>
      </w:r>
      <w:r w:rsidR="004159D5">
        <w:rPr>
          <w:rFonts w:ascii="標楷體" w:eastAsia="標楷體" w:hAnsi="標楷體" w:hint="eastAsia"/>
          <w:b/>
          <w:sz w:val="28"/>
          <w:szCs w:val="28"/>
        </w:rPr>
        <w:t>排放與能源強度</w:t>
      </w:r>
      <w:r w:rsidR="006B0A80">
        <w:rPr>
          <w:rFonts w:ascii="標楷體" w:eastAsia="標楷體" w:hAnsi="標楷體" w:hint="eastAsia"/>
          <w:b/>
          <w:sz w:val="28"/>
          <w:szCs w:val="28"/>
        </w:rPr>
        <w:t>的</w:t>
      </w:r>
      <w:r w:rsidR="004159D5">
        <w:rPr>
          <w:rFonts w:ascii="標楷體" w:eastAsia="標楷體" w:hAnsi="標楷體" w:hint="eastAsia"/>
          <w:b/>
          <w:sz w:val="28"/>
          <w:szCs w:val="28"/>
        </w:rPr>
        <w:t>統計結果</w:t>
      </w:r>
      <w:r w:rsidR="006B0A80">
        <w:rPr>
          <w:rFonts w:ascii="標楷體" w:eastAsia="標楷體" w:hAnsi="標楷體" w:hint="eastAsia"/>
          <w:b/>
          <w:sz w:val="28"/>
          <w:szCs w:val="28"/>
        </w:rPr>
        <w:t>顯示</w:t>
      </w:r>
      <w:r w:rsidR="00E463B8">
        <w:rPr>
          <w:rFonts w:ascii="標楷體" w:eastAsia="標楷體" w:hAnsi="標楷體" w:hint="eastAsia"/>
          <w:b/>
          <w:sz w:val="28"/>
          <w:szCs w:val="28"/>
        </w:rPr>
        <w:t>(2021~2023年</w:t>
      </w:r>
      <w:r>
        <w:rPr>
          <w:rFonts w:ascii="標楷體" w:eastAsia="標楷體" w:hAnsi="標楷體" w:hint="eastAsia"/>
          <w:b/>
          <w:sz w:val="28"/>
          <w:szCs w:val="28"/>
        </w:rPr>
        <w:t>G</w:t>
      </w:r>
      <w:r>
        <w:rPr>
          <w:rFonts w:ascii="標楷體" w:eastAsia="標楷體" w:hAnsi="標楷體"/>
          <w:b/>
          <w:sz w:val="28"/>
          <w:szCs w:val="28"/>
        </w:rPr>
        <w:t>lobal average</w:t>
      </w:r>
      <w:r w:rsidR="00E463B8">
        <w:rPr>
          <w:rFonts w:ascii="標楷體" w:eastAsia="標楷體" w:hAnsi="標楷體" w:hint="eastAsia"/>
          <w:b/>
          <w:sz w:val="28"/>
          <w:szCs w:val="28"/>
        </w:rPr>
        <w:t>)</w:t>
      </w:r>
      <w:r w:rsidR="006B0A80">
        <w:rPr>
          <w:rFonts w:ascii="標楷體" w:eastAsia="標楷體" w:hAnsi="標楷體" w:hint="eastAsia"/>
          <w:b/>
          <w:sz w:val="28"/>
          <w:szCs w:val="28"/>
        </w:rPr>
        <w:t>，</w:t>
      </w:r>
      <w:r w:rsidR="00920F6F" w:rsidRPr="00920F6F">
        <w:rPr>
          <w:rFonts w:ascii="標楷體" w:eastAsia="標楷體" w:hAnsi="標楷體" w:hint="eastAsia"/>
          <w:b/>
          <w:sz w:val="28"/>
          <w:szCs w:val="28"/>
        </w:rPr>
        <w:t>每噸粗鋼CO</w:t>
      </w:r>
      <w:r w:rsidR="00920F6F" w:rsidRPr="004159D5">
        <w:rPr>
          <w:rFonts w:ascii="標楷體" w:eastAsia="標楷體" w:hAnsi="標楷體" w:hint="eastAsia"/>
          <w:b/>
          <w:sz w:val="28"/>
          <w:szCs w:val="28"/>
          <w:vertAlign w:val="subscript"/>
        </w:rPr>
        <w:t>2</w:t>
      </w:r>
      <w:r w:rsidR="00920F6F" w:rsidRPr="00920F6F">
        <w:rPr>
          <w:rFonts w:ascii="標楷體" w:eastAsia="標楷體" w:hAnsi="標楷體" w:hint="eastAsia"/>
          <w:b/>
          <w:sz w:val="28"/>
          <w:szCs w:val="28"/>
        </w:rPr>
        <w:t>排放量並未顯著降低</w:t>
      </w:r>
      <w:r w:rsidR="006B0A80">
        <w:rPr>
          <w:rFonts w:ascii="標楷體" w:eastAsia="標楷體" w:hAnsi="標楷體" w:hint="eastAsia"/>
          <w:b/>
          <w:sz w:val="28"/>
          <w:szCs w:val="28"/>
        </w:rPr>
        <w:t>，</w:t>
      </w:r>
      <w:r w:rsidR="006B0A80" w:rsidRPr="00920F6F">
        <w:rPr>
          <w:rFonts w:ascii="標楷體" w:eastAsia="標楷體" w:hAnsi="標楷體" w:hint="eastAsia"/>
          <w:b/>
          <w:sz w:val="28"/>
          <w:szCs w:val="28"/>
        </w:rPr>
        <w:t>鋼鐵業在減排淨零方面仍面臨挑戰</w:t>
      </w:r>
      <w:r w:rsidR="004833EE" w:rsidRPr="00920F6F">
        <w:rPr>
          <w:rFonts w:ascii="標楷體" w:eastAsia="標楷體" w:hAnsi="標楷體" w:hint="eastAsia"/>
          <w:b/>
          <w:sz w:val="28"/>
          <w:szCs w:val="28"/>
        </w:rPr>
        <w:t>。</w:t>
      </w:r>
      <w:r w:rsidR="009E65C6" w:rsidRPr="00920F6F">
        <w:rPr>
          <w:rFonts w:ascii="標楷體" w:eastAsia="標楷體" w:hAnsi="標楷體" w:hint="eastAsia"/>
          <w:b/>
          <w:sz w:val="28"/>
          <w:szCs w:val="28"/>
        </w:rPr>
        <w:t>為了解先進鋼廠</w:t>
      </w:r>
      <w:r w:rsidR="00D751A7" w:rsidRPr="00920F6F">
        <w:rPr>
          <w:rFonts w:ascii="標楷體" w:eastAsia="標楷體" w:hAnsi="標楷體" w:hint="eastAsia"/>
          <w:b/>
          <w:sz w:val="28"/>
          <w:szCs w:val="28"/>
        </w:rPr>
        <w:t>近期相關</w:t>
      </w:r>
      <w:r w:rsidR="000F3269">
        <w:rPr>
          <w:rFonts w:ascii="標楷體" w:eastAsia="標楷體" w:hAnsi="標楷體" w:hint="eastAsia"/>
          <w:b/>
          <w:sz w:val="28"/>
          <w:szCs w:val="28"/>
        </w:rPr>
        <w:t>低碳</w:t>
      </w:r>
      <w:r w:rsidR="004159D5">
        <w:rPr>
          <w:rFonts w:ascii="標楷體" w:eastAsia="標楷體" w:hAnsi="標楷體" w:hint="eastAsia"/>
          <w:b/>
          <w:sz w:val="28"/>
          <w:szCs w:val="28"/>
        </w:rPr>
        <w:t>技術研發動</w:t>
      </w:r>
      <w:r w:rsidR="00920F6F" w:rsidRPr="00920F6F">
        <w:rPr>
          <w:rFonts w:ascii="標楷體" w:eastAsia="標楷體" w:hAnsi="標楷體" w:hint="eastAsia"/>
          <w:b/>
          <w:sz w:val="28"/>
          <w:szCs w:val="28"/>
        </w:rPr>
        <w:t>向，</w:t>
      </w:r>
      <w:r w:rsidR="001C4BD0" w:rsidRPr="00920F6F">
        <w:rPr>
          <w:rFonts w:ascii="標楷體" w:eastAsia="標楷體" w:hAnsi="標楷體" w:hint="eastAsia"/>
          <w:b/>
          <w:sz w:val="28"/>
          <w:szCs w:val="28"/>
        </w:rPr>
        <w:t>T41蒐集</w:t>
      </w:r>
      <w:r w:rsidR="00F33FCE">
        <w:rPr>
          <w:rFonts w:ascii="標楷體" w:eastAsia="標楷體" w:hAnsi="標楷體" w:hint="eastAsia"/>
          <w:b/>
          <w:sz w:val="28"/>
          <w:szCs w:val="28"/>
        </w:rPr>
        <w:t>近期</w:t>
      </w:r>
      <w:r w:rsidR="001C4BD0" w:rsidRPr="00920F6F">
        <w:rPr>
          <w:rFonts w:ascii="標楷體" w:eastAsia="標楷體" w:hAnsi="標楷體" w:hint="eastAsia"/>
          <w:b/>
          <w:sz w:val="28"/>
          <w:szCs w:val="28"/>
        </w:rPr>
        <w:t>先進鋼廠最新專利資訊，</w:t>
      </w:r>
      <w:r w:rsidR="00362033">
        <w:rPr>
          <w:rFonts w:ascii="標楷體" w:eastAsia="標楷體" w:hAnsi="標楷體" w:hint="eastAsia"/>
          <w:b/>
          <w:sz w:val="28"/>
          <w:szCs w:val="28"/>
        </w:rPr>
        <w:t>如</w:t>
      </w:r>
      <w:r w:rsidR="001C4BD0" w:rsidRPr="00920F6F">
        <w:rPr>
          <w:rFonts w:ascii="標楷體" w:eastAsia="標楷體" w:hAnsi="標楷體" w:hint="eastAsia"/>
          <w:b/>
          <w:sz w:val="28"/>
          <w:szCs w:val="28"/>
        </w:rPr>
        <w:t>ArcelorMittal</w:t>
      </w:r>
      <w:r w:rsidR="00653550">
        <w:rPr>
          <w:rFonts w:ascii="標楷體" w:eastAsia="標楷體" w:hAnsi="標楷體" w:hint="eastAsia"/>
          <w:b/>
          <w:sz w:val="28"/>
          <w:szCs w:val="28"/>
        </w:rPr>
        <w:t>持續開發</w:t>
      </w:r>
      <w:r w:rsidR="00362033" w:rsidRPr="00004CD9">
        <w:rPr>
          <w:rFonts w:ascii="標楷體" w:eastAsia="標楷體" w:hAnsi="標楷體" w:hint="eastAsia"/>
          <w:b/>
          <w:bCs/>
          <w:sz w:val="28"/>
          <w:szCs w:val="28"/>
        </w:rPr>
        <w:t>爐身與風口</w:t>
      </w:r>
      <w:r w:rsidR="00DE56C3">
        <w:rPr>
          <w:rFonts w:ascii="標楷體" w:eastAsia="標楷體" w:hAnsi="標楷體" w:hint="eastAsia"/>
          <w:b/>
          <w:bCs/>
          <w:sz w:val="28"/>
          <w:szCs w:val="28"/>
        </w:rPr>
        <w:t>雙層</w:t>
      </w:r>
      <w:r w:rsidR="00362033">
        <w:rPr>
          <w:rFonts w:ascii="標楷體" w:eastAsia="標楷體" w:hAnsi="標楷體" w:hint="eastAsia"/>
          <w:b/>
          <w:bCs/>
          <w:sz w:val="28"/>
          <w:szCs w:val="28"/>
        </w:rPr>
        <w:t>噴吹H</w:t>
      </w:r>
      <w:r w:rsidR="00362033" w:rsidRPr="00362033">
        <w:rPr>
          <w:rFonts w:ascii="標楷體" w:eastAsia="標楷體" w:hAnsi="標楷體" w:hint="eastAsia"/>
          <w:b/>
          <w:bCs/>
          <w:sz w:val="28"/>
          <w:szCs w:val="28"/>
          <w:vertAlign w:val="subscript"/>
        </w:rPr>
        <w:t>2</w:t>
      </w:r>
      <w:r w:rsidR="00362033">
        <w:rPr>
          <w:rFonts w:ascii="標楷體" w:eastAsia="標楷體" w:hAnsi="標楷體" w:hint="eastAsia"/>
          <w:b/>
          <w:bCs/>
          <w:sz w:val="28"/>
          <w:szCs w:val="28"/>
        </w:rPr>
        <w:t>與O</w:t>
      </w:r>
      <w:r w:rsidR="00362033" w:rsidRPr="00362033">
        <w:rPr>
          <w:rFonts w:ascii="標楷體" w:eastAsia="標楷體" w:hAnsi="標楷體" w:hint="eastAsia"/>
          <w:b/>
          <w:bCs/>
          <w:sz w:val="28"/>
          <w:szCs w:val="28"/>
          <w:vertAlign w:val="subscript"/>
        </w:rPr>
        <w:t>2</w:t>
      </w:r>
      <w:r w:rsidR="003E716C">
        <w:rPr>
          <w:rFonts w:ascii="標楷體" w:eastAsia="標楷體" w:hAnsi="標楷體" w:hint="eastAsia"/>
          <w:b/>
          <w:bCs/>
          <w:sz w:val="28"/>
          <w:szCs w:val="28"/>
        </w:rPr>
        <w:t>技術</w:t>
      </w:r>
      <w:r w:rsidR="001C4BD0">
        <w:rPr>
          <w:rFonts w:ascii="標楷體" w:eastAsia="標楷體" w:hAnsi="標楷體" w:hint="eastAsia"/>
          <w:b/>
          <w:sz w:val="28"/>
          <w:szCs w:val="28"/>
        </w:rPr>
        <w:t>、</w:t>
      </w:r>
      <w:r w:rsidR="00920F6F">
        <w:rPr>
          <w:rFonts w:ascii="標楷體" w:eastAsia="標楷體" w:hAnsi="標楷體" w:hint="eastAsia"/>
          <w:b/>
          <w:sz w:val="28"/>
          <w:szCs w:val="28"/>
        </w:rPr>
        <w:t>ThyssenKrup</w:t>
      </w:r>
      <w:r w:rsidR="00920F6F">
        <w:rPr>
          <w:rFonts w:ascii="標楷體" w:eastAsia="標楷體" w:hAnsi="標楷體"/>
          <w:b/>
          <w:sz w:val="28"/>
          <w:szCs w:val="28"/>
        </w:rPr>
        <w:t>p</w:t>
      </w:r>
      <w:r w:rsidR="00920F6F">
        <w:rPr>
          <w:rFonts w:ascii="標楷體" w:eastAsia="標楷體" w:hAnsi="標楷體" w:hint="eastAsia"/>
          <w:b/>
          <w:sz w:val="28"/>
          <w:szCs w:val="28"/>
        </w:rPr>
        <w:t>直接還原偕同電爐製程操作</w:t>
      </w:r>
      <w:r w:rsidR="001C4BD0">
        <w:rPr>
          <w:rFonts w:ascii="標楷體" w:eastAsia="標楷體" w:hAnsi="標楷體" w:hint="eastAsia"/>
          <w:b/>
          <w:sz w:val="28"/>
          <w:szCs w:val="28"/>
        </w:rPr>
        <w:t>、寶鋼</w:t>
      </w:r>
      <w:r w:rsidR="003E716C" w:rsidRPr="003E716C">
        <w:rPr>
          <w:rFonts w:ascii="標楷體" w:eastAsia="標楷體" w:hAnsi="標楷體" w:hint="eastAsia"/>
          <w:b/>
          <w:sz w:val="28"/>
          <w:szCs w:val="28"/>
        </w:rPr>
        <w:t>計算氧氣高爐噴氫的氫利用率</w:t>
      </w:r>
      <w:r w:rsidR="003E716C">
        <w:rPr>
          <w:rFonts w:ascii="標楷體" w:eastAsia="標楷體" w:hAnsi="標楷體" w:hint="eastAsia"/>
          <w:b/>
          <w:sz w:val="28"/>
          <w:szCs w:val="28"/>
        </w:rPr>
        <w:t>技術</w:t>
      </w:r>
      <w:r w:rsidR="006B0A80">
        <w:rPr>
          <w:rFonts w:ascii="標楷體" w:eastAsia="標楷體" w:hAnsi="標楷體" w:hint="eastAsia"/>
          <w:b/>
          <w:sz w:val="28"/>
          <w:szCs w:val="28"/>
        </w:rPr>
        <w:t>、</w:t>
      </w:r>
      <w:r w:rsidR="001C4BD0">
        <w:rPr>
          <w:rFonts w:ascii="標楷體" w:eastAsia="標楷體" w:hAnsi="標楷體" w:hint="eastAsia"/>
          <w:b/>
          <w:sz w:val="28"/>
          <w:szCs w:val="28"/>
        </w:rPr>
        <w:t>首鋼</w:t>
      </w:r>
      <w:r w:rsidR="00734EAB">
        <w:rPr>
          <w:rFonts w:ascii="標楷體" w:eastAsia="標楷體" w:hAnsi="標楷體" w:hint="eastAsia"/>
          <w:b/>
          <w:sz w:val="28"/>
          <w:szCs w:val="28"/>
        </w:rPr>
        <w:t>電解高爐氣</w:t>
      </w:r>
      <w:r w:rsidR="003E716C">
        <w:rPr>
          <w:rFonts w:ascii="標楷體" w:eastAsia="標楷體" w:hAnsi="標楷體" w:hint="eastAsia"/>
          <w:b/>
          <w:sz w:val="28"/>
          <w:szCs w:val="28"/>
        </w:rPr>
        <w:t>生產</w:t>
      </w:r>
      <w:r w:rsidR="00734EAB">
        <w:rPr>
          <w:rFonts w:ascii="標楷體" w:eastAsia="標楷體" w:hAnsi="標楷體" w:hint="eastAsia"/>
          <w:b/>
          <w:sz w:val="28"/>
          <w:szCs w:val="28"/>
        </w:rPr>
        <w:t>O</w:t>
      </w:r>
      <w:r w:rsidR="00734EAB" w:rsidRPr="000F3269">
        <w:rPr>
          <w:rFonts w:ascii="標楷體" w:eastAsia="標楷體" w:hAnsi="標楷體" w:hint="eastAsia"/>
          <w:b/>
          <w:sz w:val="28"/>
          <w:szCs w:val="28"/>
          <w:vertAlign w:val="subscript"/>
        </w:rPr>
        <w:t>2</w:t>
      </w:r>
      <w:r w:rsidR="000F3269">
        <w:rPr>
          <w:rFonts w:ascii="標楷體" w:eastAsia="標楷體" w:hAnsi="標楷體" w:hint="eastAsia"/>
          <w:b/>
          <w:sz w:val="28"/>
          <w:szCs w:val="28"/>
        </w:rPr>
        <w:t>進行富氧噴吹</w:t>
      </w:r>
      <w:r w:rsidR="006B0A80">
        <w:rPr>
          <w:rFonts w:ascii="標楷體" w:eastAsia="標楷體" w:hAnsi="標楷體" w:hint="eastAsia"/>
          <w:b/>
          <w:sz w:val="28"/>
          <w:szCs w:val="28"/>
        </w:rPr>
        <w:t>等</w:t>
      </w:r>
      <w:r w:rsidR="009C069C">
        <w:rPr>
          <w:rFonts w:ascii="標楷體" w:eastAsia="標楷體" w:hAnsi="標楷體" w:hint="eastAsia"/>
          <w:b/>
          <w:sz w:val="28"/>
          <w:szCs w:val="28"/>
        </w:rPr>
        <w:t>，</w:t>
      </w:r>
      <w:r w:rsidR="008031D7">
        <w:rPr>
          <w:rFonts w:ascii="標楷體" w:eastAsia="標楷體" w:hAnsi="標楷體" w:hint="eastAsia"/>
          <w:b/>
          <w:sz w:val="28"/>
          <w:szCs w:val="28"/>
        </w:rPr>
        <w:t>顯示</w:t>
      </w:r>
      <w:r w:rsidR="008031D7" w:rsidRPr="00622404">
        <w:rPr>
          <w:rFonts w:ascii="標楷體" w:eastAsia="標楷體" w:hAnsi="標楷體" w:hint="eastAsia"/>
          <w:b/>
          <w:sz w:val="28"/>
          <w:szCs w:val="28"/>
        </w:rPr>
        <w:t>先進鋼廠持續</w:t>
      </w:r>
      <w:r w:rsidR="008031D7">
        <w:rPr>
          <w:rFonts w:ascii="標楷體" w:eastAsia="標楷體" w:hAnsi="標楷體" w:hint="eastAsia"/>
          <w:b/>
          <w:sz w:val="28"/>
          <w:szCs w:val="28"/>
        </w:rPr>
        <w:t>開發新</w:t>
      </w:r>
      <w:r w:rsidR="008031D7" w:rsidRPr="00622404">
        <w:rPr>
          <w:rFonts w:ascii="標楷體" w:eastAsia="標楷體" w:hAnsi="標楷體" w:hint="eastAsia"/>
          <w:b/>
          <w:sz w:val="28"/>
          <w:szCs w:val="28"/>
        </w:rPr>
        <w:t>技術，</w:t>
      </w:r>
      <w:r w:rsidR="008031D7">
        <w:rPr>
          <w:rFonts w:ascii="標楷體" w:eastAsia="標楷體" w:hAnsi="標楷體" w:hint="eastAsia"/>
          <w:b/>
          <w:sz w:val="28"/>
          <w:szCs w:val="28"/>
        </w:rPr>
        <w:t>減排與邁向淨零仍</w:t>
      </w:r>
      <w:r w:rsidR="008031D7" w:rsidRPr="00B45827">
        <w:rPr>
          <w:rFonts w:ascii="標楷體" w:eastAsia="標楷體" w:hAnsi="標楷體" w:hint="eastAsia"/>
          <w:b/>
          <w:sz w:val="28"/>
          <w:szCs w:val="28"/>
        </w:rPr>
        <w:t>是刻不容緩的議題</w:t>
      </w:r>
      <w:r w:rsidR="008031D7">
        <w:rPr>
          <w:rFonts w:ascii="標楷體" w:eastAsia="標楷體" w:hAnsi="標楷體" w:hint="eastAsia"/>
          <w:b/>
          <w:sz w:val="28"/>
          <w:szCs w:val="28"/>
        </w:rPr>
        <w:t>。然而，</w:t>
      </w:r>
      <w:r w:rsidR="00B45827" w:rsidRPr="00B45827">
        <w:rPr>
          <w:rFonts w:ascii="標楷體" w:eastAsia="標楷體" w:hAnsi="標楷體" w:hint="eastAsia"/>
          <w:b/>
          <w:sz w:val="28"/>
          <w:szCs w:val="28"/>
        </w:rPr>
        <w:t>綜合</w:t>
      </w:r>
      <w:r w:rsidR="009C069C">
        <w:rPr>
          <w:rFonts w:ascii="標楷體" w:eastAsia="標楷體" w:hAnsi="標楷體" w:hint="eastAsia"/>
          <w:b/>
          <w:sz w:val="28"/>
          <w:szCs w:val="28"/>
        </w:rPr>
        <w:t>前述</w:t>
      </w:r>
      <w:r w:rsidR="00B45827" w:rsidRPr="00B45827">
        <w:rPr>
          <w:rFonts w:ascii="標楷體" w:eastAsia="標楷體" w:hAnsi="標楷體" w:hint="eastAsia"/>
          <w:b/>
          <w:sz w:val="28"/>
          <w:szCs w:val="28"/>
        </w:rPr>
        <w:t>CO</w:t>
      </w:r>
      <w:r w:rsidR="00B45827" w:rsidRPr="00F42C6B">
        <w:rPr>
          <w:rFonts w:ascii="標楷體" w:eastAsia="標楷體" w:hAnsi="標楷體"/>
          <w:b/>
          <w:sz w:val="28"/>
          <w:szCs w:val="28"/>
          <w:vertAlign w:val="subscript"/>
        </w:rPr>
        <w:t>2</w:t>
      </w:r>
      <w:r w:rsidR="00B45827" w:rsidRPr="00B45827">
        <w:rPr>
          <w:rFonts w:ascii="標楷體" w:eastAsia="標楷體" w:hAnsi="標楷體" w:hint="eastAsia"/>
          <w:b/>
          <w:sz w:val="28"/>
          <w:szCs w:val="28"/>
        </w:rPr>
        <w:t>排放趨勢</w:t>
      </w:r>
      <w:r w:rsidR="00276321">
        <w:rPr>
          <w:rFonts w:ascii="標楷體" w:eastAsia="標楷體" w:hAnsi="標楷體" w:hint="eastAsia"/>
          <w:b/>
          <w:sz w:val="28"/>
          <w:szCs w:val="28"/>
        </w:rPr>
        <w:t>未減緩</w:t>
      </w:r>
      <w:r w:rsidR="00B45827" w:rsidRPr="00B45827">
        <w:rPr>
          <w:rFonts w:ascii="標楷體" w:eastAsia="標楷體" w:hAnsi="標楷體" w:hint="eastAsia"/>
          <w:b/>
          <w:sz w:val="28"/>
          <w:szCs w:val="28"/>
        </w:rPr>
        <w:t>與近期專利</w:t>
      </w:r>
      <w:r w:rsidR="00276321">
        <w:rPr>
          <w:rFonts w:ascii="標楷體" w:eastAsia="標楷體" w:hAnsi="標楷體" w:hint="eastAsia"/>
          <w:b/>
          <w:sz w:val="28"/>
          <w:szCs w:val="28"/>
        </w:rPr>
        <w:t>技術持續產出</w:t>
      </w:r>
      <w:r w:rsidR="001D2C8E">
        <w:rPr>
          <w:rFonts w:ascii="標楷體" w:eastAsia="標楷體" w:hAnsi="標楷體" w:hint="eastAsia"/>
          <w:b/>
          <w:sz w:val="28"/>
          <w:szCs w:val="28"/>
        </w:rPr>
        <w:t>情形</w:t>
      </w:r>
      <w:r w:rsidR="00622404" w:rsidRPr="00622404">
        <w:rPr>
          <w:rFonts w:ascii="標楷體" w:eastAsia="標楷體" w:hAnsi="標楷體" w:hint="eastAsia"/>
          <w:b/>
          <w:sz w:val="28"/>
          <w:szCs w:val="28"/>
        </w:rPr>
        <w:t>，</w:t>
      </w:r>
      <w:r w:rsidR="00873885">
        <w:rPr>
          <w:rFonts w:ascii="標楷體" w:eastAsia="標楷體" w:hAnsi="標楷體" w:hint="eastAsia"/>
          <w:b/>
          <w:sz w:val="28"/>
          <w:szCs w:val="28"/>
        </w:rPr>
        <w:t>相關</w:t>
      </w:r>
      <w:r w:rsidR="00622404" w:rsidRPr="00622404">
        <w:rPr>
          <w:rFonts w:ascii="標楷體" w:eastAsia="標楷體" w:hAnsi="標楷體" w:hint="eastAsia"/>
          <w:b/>
          <w:sz w:val="28"/>
          <w:szCs w:val="28"/>
        </w:rPr>
        <w:t>低碳</w:t>
      </w:r>
      <w:r w:rsidR="00873885" w:rsidRPr="00F42C6B">
        <w:rPr>
          <w:rFonts w:ascii="標楷體" w:eastAsia="標楷體" w:hAnsi="標楷體" w:hint="eastAsia"/>
          <w:b/>
          <w:sz w:val="28"/>
          <w:szCs w:val="28"/>
        </w:rPr>
        <w:t>製程</w:t>
      </w:r>
      <w:r w:rsidR="00276321">
        <w:rPr>
          <w:rFonts w:ascii="標楷體" w:eastAsia="標楷體" w:hAnsi="標楷體" w:hint="eastAsia"/>
          <w:b/>
          <w:sz w:val="28"/>
          <w:szCs w:val="28"/>
        </w:rPr>
        <w:t>是否已達大規模</w:t>
      </w:r>
      <w:r w:rsidR="00873885" w:rsidRPr="00873885">
        <w:rPr>
          <w:rFonts w:ascii="標楷體" w:eastAsia="標楷體" w:hAnsi="標楷體" w:hint="eastAsia"/>
          <w:b/>
          <w:sz w:val="28"/>
          <w:szCs w:val="28"/>
        </w:rPr>
        <w:t>「技術可行、成本可行」</w:t>
      </w:r>
      <w:r w:rsidR="00B45827">
        <w:rPr>
          <w:rFonts w:ascii="標楷體" w:eastAsia="標楷體" w:hAnsi="標楷體" w:hint="eastAsia"/>
          <w:b/>
          <w:sz w:val="28"/>
          <w:szCs w:val="28"/>
        </w:rPr>
        <w:t>階段</w:t>
      </w:r>
      <w:r w:rsidR="00276321">
        <w:rPr>
          <w:rFonts w:ascii="標楷體" w:eastAsia="標楷體" w:hAnsi="標楷體" w:hint="eastAsia"/>
          <w:b/>
          <w:sz w:val="28"/>
          <w:szCs w:val="28"/>
        </w:rPr>
        <w:t>，仍有待商榷</w:t>
      </w:r>
      <w:r w:rsidR="00622404" w:rsidRPr="00622404">
        <w:rPr>
          <w:rFonts w:ascii="標楷體" w:eastAsia="標楷體" w:hAnsi="標楷體" w:hint="eastAsia"/>
          <w:b/>
          <w:sz w:val="28"/>
          <w:szCs w:val="28"/>
        </w:rPr>
        <w:t>。</w:t>
      </w:r>
    </w:p>
    <w:p w:rsidR="000A1C2E" w:rsidRPr="00F42C6B" w:rsidRDefault="000A1C2E" w:rsidP="00F42C6B">
      <w:pPr>
        <w:adjustRightInd w:val="0"/>
        <w:snapToGrid w:val="0"/>
        <w:spacing w:beforeLines="50" w:before="180" w:line="400" w:lineRule="exact"/>
        <w:jc w:val="both"/>
        <w:rPr>
          <w:rFonts w:ascii="標楷體" w:eastAsia="標楷體" w:hAnsi="標楷體"/>
          <w:b/>
          <w:color w:val="0000CC"/>
          <w:sz w:val="28"/>
          <w:szCs w:val="28"/>
        </w:rPr>
      </w:pPr>
      <w:r w:rsidRPr="00F42C6B">
        <w:rPr>
          <w:rFonts w:ascii="標楷體" w:eastAsia="標楷體" w:hAnsi="標楷體" w:hint="eastAsia"/>
          <w:b/>
          <w:color w:val="0000CC"/>
          <w:sz w:val="28"/>
          <w:szCs w:val="28"/>
        </w:rPr>
        <w:t>一、世界鋼鐵協會</w:t>
      </w:r>
      <w:r w:rsidRPr="00E463B8">
        <w:rPr>
          <w:rFonts w:ascii="標楷體" w:eastAsia="標楷體" w:hAnsi="標楷體" w:hint="eastAsia"/>
          <w:b/>
          <w:bCs/>
          <w:color w:val="0000CC"/>
          <w:sz w:val="28"/>
          <w:szCs w:val="28"/>
        </w:rPr>
        <w:t>：</w:t>
      </w:r>
      <w:r w:rsidR="00E463B8" w:rsidRPr="00E463B8">
        <w:rPr>
          <w:rFonts w:ascii="標楷體" w:eastAsia="標楷體" w:hAnsi="標楷體" w:hint="eastAsia"/>
          <w:b/>
          <w:bCs/>
          <w:color w:val="0000CC"/>
          <w:sz w:val="28"/>
          <w:szCs w:val="28"/>
        </w:rPr>
        <w:t>2021~2023</w:t>
      </w:r>
      <w:r w:rsidR="00E463B8" w:rsidRPr="00C5378B">
        <w:rPr>
          <w:rFonts w:ascii="標楷體" w:eastAsia="標楷體" w:hAnsi="標楷體" w:hint="eastAsia"/>
          <w:b/>
          <w:bCs/>
          <w:color w:val="0000CC"/>
          <w:sz w:val="28"/>
          <w:szCs w:val="28"/>
        </w:rPr>
        <w:t>年</w:t>
      </w:r>
      <w:r w:rsidR="00C5378B" w:rsidRPr="00C5378B">
        <w:rPr>
          <w:rFonts w:ascii="標楷體" w:eastAsia="標楷體" w:hAnsi="標楷體" w:hint="eastAsia"/>
          <w:b/>
          <w:bCs/>
          <w:color w:val="0000CC"/>
          <w:sz w:val="28"/>
          <w:szCs w:val="28"/>
        </w:rPr>
        <w:t>整體鋼鐵業</w:t>
      </w:r>
      <w:r w:rsidRPr="00F42C6B">
        <w:rPr>
          <w:rFonts w:ascii="標楷體" w:eastAsia="標楷體" w:hAnsi="標楷體"/>
          <w:b/>
          <w:bCs/>
          <w:color w:val="0000CC"/>
          <w:sz w:val="28"/>
          <w:szCs w:val="28"/>
        </w:rPr>
        <w:t>CO</w:t>
      </w:r>
      <w:r w:rsidRPr="00F42C6B">
        <w:rPr>
          <w:rFonts w:ascii="標楷體" w:eastAsia="標楷體" w:hAnsi="標楷體"/>
          <w:b/>
          <w:bCs/>
          <w:color w:val="0000CC"/>
          <w:sz w:val="28"/>
          <w:szCs w:val="28"/>
          <w:vertAlign w:val="subscript"/>
        </w:rPr>
        <w:t>2</w:t>
      </w:r>
      <w:r w:rsidRPr="00F42C6B">
        <w:rPr>
          <w:rFonts w:ascii="標楷體" w:eastAsia="標楷體" w:hAnsi="標楷體" w:hint="eastAsia"/>
          <w:b/>
          <w:bCs/>
          <w:color w:val="0000CC"/>
          <w:sz w:val="28"/>
          <w:szCs w:val="28"/>
        </w:rPr>
        <w:t>排放和能源強度並無顯著改善</w:t>
      </w:r>
    </w:p>
    <w:p w:rsidR="00BB3F20" w:rsidRPr="00BB3F20" w:rsidRDefault="00F33FCE" w:rsidP="00A85A9C">
      <w:pPr>
        <w:adjustRightInd w:val="0"/>
        <w:snapToGrid w:val="0"/>
        <w:spacing w:beforeLines="50" w:before="180" w:line="400" w:lineRule="exact"/>
        <w:ind w:left="-1" w:firstLineChars="202" w:firstLine="566"/>
        <w:jc w:val="both"/>
        <w:rPr>
          <w:rFonts w:ascii="標楷體" w:eastAsia="標楷體" w:hAnsi="標楷體"/>
          <w:bCs/>
          <w:sz w:val="28"/>
          <w:szCs w:val="28"/>
        </w:rPr>
      </w:pPr>
      <w:r>
        <w:rPr>
          <w:rFonts w:ascii="標楷體" w:eastAsia="標楷體" w:hAnsi="標楷體" w:hint="eastAsia"/>
          <w:sz w:val="28"/>
          <w:szCs w:val="28"/>
        </w:rPr>
        <w:t>隨</w:t>
      </w:r>
      <w:r w:rsidRPr="00F33FCE">
        <w:rPr>
          <w:rFonts w:ascii="標楷體" w:eastAsia="標楷體" w:hAnsi="標楷體" w:hint="eastAsia"/>
          <w:sz w:val="28"/>
          <w:szCs w:val="28"/>
        </w:rPr>
        <w:t>全球氣候變遷加劇和國際間對碳中和目標的高度關注，鋼鐵產業正面臨巨大的減碳壓力，</w:t>
      </w:r>
      <w:r w:rsidR="00C2391C">
        <w:rPr>
          <w:rFonts w:ascii="標楷體" w:eastAsia="標楷體" w:hAnsi="標楷體" w:hint="eastAsia"/>
          <w:bCs/>
          <w:sz w:val="28"/>
          <w:szCs w:val="28"/>
        </w:rPr>
        <w:t>世界鋼鐵協會</w:t>
      </w:r>
      <w:r w:rsidR="00C2391C" w:rsidRPr="00C2391C">
        <w:rPr>
          <w:rFonts w:ascii="標楷體" w:eastAsia="標楷體" w:hAnsi="標楷體" w:hint="eastAsia"/>
          <w:bCs/>
          <w:sz w:val="28"/>
          <w:szCs w:val="28"/>
        </w:rPr>
        <w:t>數據反映了全球鋼鐵行業在過去三年</w:t>
      </w:r>
      <w:r w:rsidR="00920F6F">
        <w:rPr>
          <w:rFonts w:ascii="標楷體" w:eastAsia="標楷體" w:hAnsi="標楷體" w:hint="eastAsia"/>
          <w:bCs/>
          <w:sz w:val="28"/>
          <w:szCs w:val="28"/>
        </w:rPr>
        <w:t>(2021~2023)</w:t>
      </w:r>
      <w:r w:rsidR="00C2391C" w:rsidRPr="00C2391C">
        <w:rPr>
          <w:rFonts w:ascii="標楷體" w:eastAsia="標楷體" w:hAnsi="標楷體" w:hint="eastAsia"/>
          <w:bCs/>
          <w:sz w:val="28"/>
          <w:szCs w:val="28"/>
        </w:rPr>
        <w:t>中在CO</w:t>
      </w:r>
      <w:r w:rsidR="00C2391C" w:rsidRPr="00BB3F20">
        <w:rPr>
          <w:rFonts w:ascii="標楷體" w:eastAsia="標楷體" w:hAnsi="標楷體" w:hint="eastAsia"/>
          <w:bCs/>
          <w:sz w:val="28"/>
          <w:szCs w:val="28"/>
          <w:vertAlign w:val="subscript"/>
        </w:rPr>
        <w:t>2</w:t>
      </w:r>
      <w:r w:rsidR="00C2391C" w:rsidRPr="00C2391C">
        <w:rPr>
          <w:rFonts w:ascii="標楷體" w:eastAsia="標楷體" w:hAnsi="標楷體" w:hint="eastAsia"/>
          <w:bCs/>
          <w:sz w:val="28"/>
          <w:szCs w:val="28"/>
        </w:rPr>
        <w:t>排放、能源</w:t>
      </w:r>
      <w:r w:rsidR="00BB3F20">
        <w:rPr>
          <w:rFonts w:ascii="標楷體" w:eastAsia="標楷體" w:hAnsi="標楷體" w:hint="eastAsia"/>
          <w:bCs/>
          <w:sz w:val="28"/>
          <w:szCs w:val="28"/>
        </w:rPr>
        <w:t>強度之變</w:t>
      </w:r>
      <w:r w:rsidR="00C2391C" w:rsidRPr="00C2391C">
        <w:rPr>
          <w:rFonts w:ascii="標楷體" w:eastAsia="標楷體" w:hAnsi="標楷體" w:hint="eastAsia"/>
          <w:bCs/>
          <w:sz w:val="28"/>
          <w:szCs w:val="28"/>
        </w:rPr>
        <w:t>化趨勢。值得注意的是</w:t>
      </w:r>
      <w:r w:rsidR="00BB3F20">
        <w:rPr>
          <w:rFonts w:ascii="標楷體" w:eastAsia="標楷體" w:hAnsi="標楷體" w:hint="eastAsia"/>
          <w:bCs/>
          <w:sz w:val="28"/>
          <w:szCs w:val="28"/>
        </w:rPr>
        <w:t>，</w:t>
      </w:r>
      <w:r w:rsidR="00C2391C" w:rsidRPr="00C2391C">
        <w:rPr>
          <w:rFonts w:ascii="標楷體" w:eastAsia="標楷體" w:hAnsi="標楷體" w:hint="eastAsia"/>
          <w:bCs/>
          <w:sz w:val="28"/>
          <w:szCs w:val="28"/>
        </w:rPr>
        <w:t>儘管</w:t>
      </w:r>
      <w:r w:rsidR="00BB3F20">
        <w:rPr>
          <w:rFonts w:ascii="標楷體" w:eastAsia="標楷體" w:hAnsi="標楷體" w:hint="eastAsia"/>
          <w:bCs/>
          <w:sz w:val="28"/>
          <w:szCs w:val="28"/>
        </w:rPr>
        <w:t>減碳聲浪不斷，</w:t>
      </w:r>
      <w:r w:rsidR="00C5378B">
        <w:rPr>
          <w:rFonts w:ascii="標楷體" w:eastAsia="標楷體" w:hAnsi="標楷體" w:hint="eastAsia"/>
          <w:bCs/>
          <w:sz w:val="28"/>
          <w:szCs w:val="28"/>
        </w:rPr>
        <w:t>整體</w:t>
      </w:r>
      <w:r w:rsidR="00C2391C" w:rsidRPr="00C2391C">
        <w:rPr>
          <w:rFonts w:ascii="標楷體" w:eastAsia="標楷體" w:hAnsi="標楷體" w:hint="eastAsia"/>
          <w:bCs/>
          <w:sz w:val="28"/>
          <w:szCs w:val="28"/>
        </w:rPr>
        <w:t>CO</w:t>
      </w:r>
      <w:r w:rsidR="00C2391C" w:rsidRPr="00BB3F20">
        <w:rPr>
          <w:rFonts w:ascii="標楷體" w:eastAsia="標楷體" w:hAnsi="標楷體" w:hint="eastAsia"/>
          <w:bCs/>
          <w:sz w:val="28"/>
          <w:szCs w:val="28"/>
          <w:vertAlign w:val="subscript"/>
        </w:rPr>
        <w:t>2</w:t>
      </w:r>
      <w:r w:rsidR="00C2391C" w:rsidRPr="00C2391C">
        <w:rPr>
          <w:rFonts w:ascii="標楷體" w:eastAsia="標楷體" w:hAnsi="標楷體" w:hint="eastAsia"/>
          <w:bCs/>
          <w:sz w:val="28"/>
          <w:szCs w:val="28"/>
        </w:rPr>
        <w:t>排放和能源強度並</w:t>
      </w:r>
      <w:r w:rsidR="00BB3F20">
        <w:rPr>
          <w:rFonts w:ascii="標楷體" w:eastAsia="標楷體" w:hAnsi="標楷體" w:hint="eastAsia"/>
          <w:bCs/>
          <w:sz w:val="28"/>
          <w:szCs w:val="28"/>
        </w:rPr>
        <w:t>無</w:t>
      </w:r>
      <w:r w:rsidR="00C2391C" w:rsidRPr="00C2391C">
        <w:rPr>
          <w:rFonts w:ascii="標楷體" w:eastAsia="標楷體" w:hAnsi="標楷體" w:hint="eastAsia"/>
          <w:bCs/>
          <w:sz w:val="28"/>
          <w:szCs w:val="28"/>
        </w:rPr>
        <w:t>顯著改善</w:t>
      </w:r>
      <w:r w:rsidR="00BB3F20">
        <w:rPr>
          <w:rFonts w:ascii="標楷體" w:eastAsia="標楷體" w:hAnsi="標楷體" w:hint="eastAsia"/>
          <w:bCs/>
          <w:sz w:val="28"/>
          <w:szCs w:val="28"/>
        </w:rPr>
        <w:t>(圖1)，</w:t>
      </w:r>
      <w:r w:rsidR="00C2391C" w:rsidRPr="00C2391C">
        <w:rPr>
          <w:rFonts w:ascii="標楷體" w:eastAsia="標楷體" w:hAnsi="標楷體" w:hint="eastAsia"/>
          <w:bCs/>
          <w:sz w:val="28"/>
          <w:szCs w:val="28"/>
        </w:rPr>
        <w:t>表明</w:t>
      </w:r>
      <w:r w:rsidR="00BB3F20">
        <w:rPr>
          <w:rFonts w:ascii="標楷體" w:eastAsia="標楷體" w:hAnsi="標楷體" w:hint="eastAsia"/>
          <w:bCs/>
          <w:sz w:val="28"/>
          <w:szCs w:val="28"/>
        </w:rPr>
        <w:t>鋼鐵業在減排淨零</w:t>
      </w:r>
      <w:r w:rsidR="00C2391C" w:rsidRPr="00C2391C">
        <w:rPr>
          <w:rFonts w:ascii="標楷體" w:eastAsia="標楷體" w:hAnsi="標楷體" w:hint="eastAsia"/>
          <w:bCs/>
          <w:sz w:val="28"/>
          <w:szCs w:val="28"/>
        </w:rPr>
        <w:t>方面仍面臨挑戰。</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BB3F20" w:rsidTr="005B5F9C">
        <w:tc>
          <w:tcPr>
            <w:tcW w:w="10065" w:type="dxa"/>
          </w:tcPr>
          <w:p w:rsidR="00BB3F20" w:rsidRDefault="005B5F9C" w:rsidP="005B5F9C">
            <w:pPr>
              <w:tabs>
                <w:tab w:val="left" w:pos="668"/>
                <w:tab w:val="center" w:pos="4924"/>
              </w:tabs>
              <w:adjustRightInd w:val="0"/>
              <w:snapToGrid w:val="0"/>
              <w:rPr>
                <w:rFonts w:ascii="標楷體" w:eastAsia="標楷體" w:hAnsi="標楷體"/>
                <w:bCs/>
                <w:sz w:val="28"/>
                <w:szCs w:val="28"/>
              </w:rPr>
            </w:pPr>
            <w:r>
              <w:rPr>
                <w:rFonts w:ascii="標楷體" w:eastAsia="標楷體" w:hAnsi="標楷體"/>
                <w:bCs/>
                <w:sz w:val="28"/>
                <w:szCs w:val="28"/>
              </w:rPr>
              <w:tab/>
            </w:r>
            <w:r>
              <w:rPr>
                <w:rFonts w:ascii="標楷體" w:eastAsia="標楷體" w:hAnsi="標楷體"/>
                <w:bCs/>
                <w:sz w:val="28"/>
                <w:szCs w:val="28"/>
              </w:rPr>
              <w:tab/>
            </w:r>
            <w:r>
              <w:rPr>
                <w:rFonts w:ascii="標楷體" w:eastAsia="標楷體" w:hAnsi="標楷體"/>
                <w:bCs/>
                <w:noProof/>
                <w:sz w:val="28"/>
                <w:szCs w:val="28"/>
              </w:rPr>
              <w:drawing>
                <wp:anchor distT="0" distB="0" distL="114300" distR="114300" simplePos="0" relativeHeight="251658240" behindDoc="0" locked="0" layoutInCell="1" allowOverlap="1" wp14:anchorId="0F98F0CD" wp14:editId="5083F476">
                  <wp:simplePos x="0" y="0"/>
                  <wp:positionH relativeFrom="column">
                    <wp:posOffset>213208</wp:posOffset>
                  </wp:positionH>
                  <wp:positionV relativeFrom="paragraph">
                    <wp:posOffset>7315</wp:posOffset>
                  </wp:positionV>
                  <wp:extent cx="5852795" cy="1755775"/>
                  <wp:effectExtent l="0" t="0" r="0" b="0"/>
                  <wp:wrapSquare wrapText="bothSides"/>
                  <wp:docPr id="3285488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795" cy="1755775"/>
                          </a:xfrm>
                          <a:prstGeom prst="rect">
                            <a:avLst/>
                          </a:prstGeom>
                          <a:noFill/>
                        </pic:spPr>
                      </pic:pic>
                    </a:graphicData>
                  </a:graphic>
                  <wp14:sizeRelH relativeFrom="page">
                    <wp14:pctWidth>0</wp14:pctWidth>
                  </wp14:sizeRelH>
                  <wp14:sizeRelV relativeFrom="page">
                    <wp14:pctHeight>0</wp14:pctHeight>
                  </wp14:sizeRelV>
                </wp:anchor>
              </w:drawing>
            </w:r>
            <w:r w:rsidR="00BB3F20">
              <w:rPr>
                <w:rFonts w:ascii="標楷體" w:eastAsia="標楷體" w:hAnsi="標楷體" w:hint="eastAsia"/>
                <w:bCs/>
                <w:sz w:val="28"/>
                <w:szCs w:val="28"/>
              </w:rPr>
              <w:t xml:space="preserve">圖1. </w:t>
            </w:r>
            <w:r w:rsidR="00BB3F20" w:rsidRPr="00BB3F20">
              <w:rPr>
                <w:rFonts w:ascii="標楷體" w:eastAsia="標楷體" w:hAnsi="標楷體" w:hint="eastAsia"/>
                <w:bCs/>
                <w:sz w:val="28"/>
                <w:szCs w:val="28"/>
              </w:rPr>
              <w:t>世界鋼鐵協會統計之</w:t>
            </w:r>
            <w:r w:rsidR="00BB3F20">
              <w:rPr>
                <w:rFonts w:ascii="標楷體" w:eastAsia="標楷體" w:hAnsi="標楷體" w:hint="eastAsia"/>
                <w:bCs/>
                <w:sz w:val="28"/>
                <w:szCs w:val="28"/>
              </w:rPr>
              <w:t>不同生產路淨</w:t>
            </w:r>
            <w:r w:rsidR="00BB3F20" w:rsidRPr="00C2391C">
              <w:rPr>
                <w:rFonts w:ascii="標楷體" w:eastAsia="標楷體" w:hAnsi="標楷體" w:hint="eastAsia"/>
                <w:bCs/>
                <w:sz w:val="28"/>
                <w:szCs w:val="28"/>
              </w:rPr>
              <w:t>CO</w:t>
            </w:r>
            <w:r w:rsidR="00BB3F20" w:rsidRPr="00BB3F20">
              <w:rPr>
                <w:rFonts w:ascii="標楷體" w:eastAsia="標楷體" w:hAnsi="標楷體" w:hint="eastAsia"/>
                <w:bCs/>
                <w:sz w:val="28"/>
                <w:szCs w:val="28"/>
                <w:vertAlign w:val="subscript"/>
              </w:rPr>
              <w:t>2</w:t>
            </w:r>
            <w:r w:rsidR="00BB3F20" w:rsidRPr="00C2391C">
              <w:rPr>
                <w:rFonts w:ascii="標楷體" w:eastAsia="標楷體" w:hAnsi="標楷體" w:hint="eastAsia"/>
                <w:bCs/>
                <w:sz w:val="28"/>
                <w:szCs w:val="28"/>
              </w:rPr>
              <w:t>排放、能源</w:t>
            </w:r>
            <w:r w:rsidR="00BB3F20">
              <w:rPr>
                <w:rFonts w:ascii="標楷體" w:eastAsia="標楷體" w:hAnsi="標楷體" w:hint="eastAsia"/>
                <w:bCs/>
                <w:sz w:val="28"/>
                <w:szCs w:val="28"/>
              </w:rPr>
              <w:t>強度之變</w:t>
            </w:r>
            <w:r w:rsidR="00BB3F20" w:rsidRPr="00C2391C">
              <w:rPr>
                <w:rFonts w:ascii="標楷體" w:eastAsia="標楷體" w:hAnsi="標楷體" w:hint="eastAsia"/>
                <w:bCs/>
                <w:sz w:val="28"/>
                <w:szCs w:val="28"/>
              </w:rPr>
              <w:t>化</w:t>
            </w:r>
          </w:p>
        </w:tc>
      </w:tr>
    </w:tbl>
    <w:p w:rsidR="00BB3F20" w:rsidRPr="00F42C6B" w:rsidRDefault="000A1C2E" w:rsidP="00F42C6B">
      <w:pPr>
        <w:adjustRightInd w:val="0"/>
        <w:snapToGrid w:val="0"/>
        <w:spacing w:beforeLines="50" w:before="180" w:line="400" w:lineRule="exact"/>
        <w:jc w:val="both"/>
        <w:rPr>
          <w:rFonts w:ascii="標楷體" w:eastAsia="標楷體" w:hAnsi="標楷體"/>
          <w:b/>
          <w:color w:val="0000CC"/>
          <w:sz w:val="28"/>
          <w:szCs w:val="28"/>
        </w:rPr>
      </w:pPr>
      <w:r w:rsidRPr="00F42C6B">
        <w:rPr>
          <w:rFonts w:ascii="標楷體" w:eastAsia="標楷體" w:hAnsi="標楷體" w:hint="eastAsia"/>
          <w:b/>
          <w:color w:val="0000CC"/>
          <w:sz w:val="28"/>
          <w:szCs w:val="28"/>
        </w:rPr>
        <w:t>二、</w:t>
      </w:r>
      <w:r>
        <w:rPr>
          <w:rFonts w:ascii="標楷體" w:eastAsia="標楷體" w:hAnsi="標楷體" w:hint="eastAsia"/>
          <w:b/>
          <w:color w:val="0000CC"/>
          <w:sz w:val="28"/>
          <w:szCs w:val="28"/>
        </w:rPr>
        <w:t>近期</w:t>
      </w:r>
      <w:r w:rsidR="00BB3F20" w:rsidRPr="00F42C6B">
        <w:rPr>
          <w:rFonts w:ascii="標楷體" w:eastAsia="標楷體" w:hAnsi="標楷體" w:hint="eastAsia"/>
          <w:b/>
          <w:color w:val="0000CC"/>
          <w:sz w:val="28"/>
          <w:szCs w:val="28"/>
        </w:rPr>
        <w:t>先進鋼廠低碳冶煉重要專利技術說明</w:t>
      </w:r>
    </w:p>
    <w:p w:rsidR="00D20B97" w:rsidRPr="00F42C6B" w:rsidRDefault="009E65C6" w:rsidP="00E24975">
      <w:pPr>
        <w:pStyle w:val="af0"/>
        <w:numPr>
          <w:ilvl w:val="0"/>
          <w:numId w:val="9"/>
        </w:numPr>
        <w:adjustRightInd w:val="0"/>
        <w:snapToGrid w:val="0"/>
        <w:spacing w:beforeLines="50" w:before="180" w:line="400" w:lineRule="exact"/>
        <w:ind w:leftChars="0" w:left="567"/>
        <w:rPr>
          <w:rFonts w:ascii="標楷體" w:eastAsia="標楷體" w:hAnsi="標楷體"/>
          <w:b/>
          <w:bCs/>
          <w:color w:val="0000CC"/>
          <w:sz w:val="28"/>
          <w:szCs w:val="28"/>
        </w:rPr>
      </w:pPr>
      <w:r w:rsidRPr="00F42C6B">
        <w:rPr>
          <w:rFonts w:ascii="標楷體" w:eastAsia="標楷體" w:hAnsi="標楷體"/>
          <w:b/>
          <w:bCs/>
          <w:color w:val="0000CC"/>
          <w:sz w:val="28"/>
          <w:szCs w:val="28"/>
        </w:rPr>
        <w:t>ArcelorMittal</w:t>
      </w:r>
      <w:r w:rsidR="003F72BB" w:rsidRPr="00F42C6B">
        <w:rPr>
          <w:rFonts w:ascii="標楷體" w:eastAsia="標楷體" w:hAnsi="標楷體" w:hint="eastAsia"/>
          <w:b/>
          <w:bCs/>
          <w:color w:val="0000CC"/>
          <w:sz w:val="28"/>
          <w:szCs w:val="28"/>
        </w:rPr>
        <w:t>放眼未來</w:t>
      </w:r>
      <w:r w:rsidRPr="00F42C6B">
        <w:rPr>
          <w:rFonts w:ascii="標楷體" w:eastAsia="標楷體" w:hAnsi="標楷體" w:hint="eastAsia"/>
          <w:b/>
          <w:bCs/>
          <w:color w:val="0000CC"/>
          <w:sz w:val="28"/>
          <w:szCs w:val="28"/>
        </w:rPr>
        <w:t>純氫還原製程技術，提出煉鐵方法及相關設備專利</w:t>
      </w:r>
    </w:p>
    <w:p w:rsidR="002A78B5" w:rsidRDefault="00B7024B" w:rsidP="00F42C6B">
      <w:pPr>
        <w:pStyle w:val="af0"/>
        <w:adjustRightInd w:val="0"/>
        <w:snapToGrid w:val="0"/>
        <w:spacing w:line="400" w:lineRule="exact"/>
        <w:ind w:leftChars="230" w:left="1418" w:hangingChars="309" w:hanging="866"/>
        <w:rPr>
          <w:rFonts w:ascii="標楷體" w:eastAsia="標楷體" w:hAnsi="標楷體"/>
          <w:bCs/>
          <w:sz w:val="28"/>
          <w:szCs w:val="28"/>
        </w:rPr>
      </w:pPr>
      <w:r w:rsidRPr="00B7024B">
        <w:rPr>
          <w:rFonts w:ascii="標楷體" w:eastAsia="標楷體" w:hAnsi="標楷體" w:hint="eastAsia"/>
          <w:b/>
          <w:bCs/>
          <w:sz w:val="28"/>
          <w:szCs w:val="28"/>
        </w:rPr>
        <w:t>方案：</w:t>
      </w:r>
      <w:r w:rsidR="002A78B5" w:rsidRPr="002A78B5">
        <w:rPr>
          <w:rFonts w:ascii="標楷體" w:eastAsia="標楷體" w:hAnsi="標楷體" w:hint="eastAsia"/>
          <w:bCs/>
          <w:sz w:val="28"/>
          <w:szCs w:val="28"/>
        </w:rPr>
        <w:t>鑒於傳統高爐煉鐵過程中，還原劑(焦炭)減量已到達極限，難以再降低；回收</w:t>
      </w:r>
      <w:r w:rsidR="002A78B5">
        <w:rPr>
          <w:rFonts w:ascii="標楷體" w:eastAsia="標楷體" w:hAnsi="標楷體" w:hint="eastAsia"/>
          <w:bCs/>
          <w:sz w:val="28"/>
          <w:szCs w:val="28"/>
        </w:rPr>
        <w:t>高爐氣</w:t>
      </w:r>
      <w:r w:rsidR="002A78B5" w:rsidRPr="002A78B5">
        <w:rPr>
          <w:rFonts w:ascii="標楷體" w:eastAsia="標楷體" w:hAnsi="標楷體" w:hint="eastAsia"/>
          <w:bCs/>
          <w:sz w:val="28"/>
          <w:szCs w:val="28"/>
        </w:rPr>
        <w:t>或採以氫氣噴吹又有其侷限性，故</w:t>
      </w:r>
      <w:r w:rsidR="002A78B5" w:rsidRPr="00004CD9">
        <w:rPr>
          <w:rFonts w:ascii="標楷體" w:eastAsia="標楷體" w:hAnsi="標楷體" w:hint="eastAsia"/>
          <w:b/>
          <w:bCs/>
          <w:sz w:val="28"/>
          <w:szCs w:val="28"/>
        </w:rPr>
        <w:t>本技術採取的方法為在高爐設置爐身與</w:t>
      </w:r>
      <w:r w:rsidR="00FD372C" w:rsidRPr="00004CD9">
        <w:rPr>
          <w:rFonts w:ascii="標楷體" w:eastAsia="標楷體" w:hAnsi="標楷體" w:hint="eastAsia"/>
          <w:b/>
          <w:bCs/>
          <w:sz w:val="28"/>
          <w:szCs w:val="28"/>
        </w:rPr>
        <w:t>風</w:t>
      </w:r>
      <w:r w:rsidR="002A78B5" w:rsidRPr="00004CD9">
        <w:rPr>
          <w:rFonts w:ascii="標楷體" w:eastAsia="標楷體" w:hAnsi="標楷體" w:hint="eastAsia"/>
          <w:b/>
          <w:bCs/>
          <w:sz w:val="28"/>
          <w:szCs w:val="28"/>
        </w:rPr>
        <w:t>口兩個氣體注入層</w:t>
      </w:r>
      <w:r w:rsidR="002A78B5">
        <w:rPr>
          <w:rFonts w:ascii="標楷體" w:eastAsia="標楷體" w:hAnsi="標楷體" w:hint="eastAsia"/>
          <w:bCs/>
          <w:sz w:val="28"/>
          <w:szCs w:val="28"/>
        </w:rPr>
        <w:t>，</w:t>
      </w:r>
      <w:r w:rsidR="00A85A9C">
        <w:rPr>
          <w:rFonts w:ascii="標楷體" w:eastAsia="標楷體" w:hAnsi="標楷體" w:hint="eastAsia"/>
          <w:bCs/>
          <w:sz w:val="28"/>
          <w:szCs w:val="28"/>
        </w:rPr>
        <w:t>風</w:t>
      </w:r>
      <w:r w:rsidR="002A78B5">
        <w:rPr>
          <w:rFonts w:ascii="標楷體" w:eastAsia="標楷體" w:hAnsi="標楷體" w:hint="eastAsia"/>
          <w:bCs/>
          <w:sz w:val="28"/>
          <w:szCs w:val="28"/>
        </w:rPr>
        <w:t>口</w:t>
      </w:r>
      <w:r w:rsidR="002A78B5" w:rsidRPr="002A78B5">
        <w:rPr>
          <w:rFonts w:ascii="標楷體" w:eastAsia="標楷體" w:hAnsi="標楷體" w:hint="eastAsia"/>
          <w:bCs/>
          <w:sz w:val="28"/>
          <w:szCs w:val="28"/>
        </w:rPr>
        <w:t>注入高溫</w:t>
      </w:r>
      <w:r w:rsidR="002A78B5" w:rsidRPr="002A78B5">
        <w:rPr>
          <w:rFonts w:ascii="Times New Roman" w:eastAsia="標楷體" w:hAnsi="Times New Roman" w:cs="Times New Roman"/>
          <w:bCs/>
          <w:sz w:val="28"/>
          <w:szCs w:val="28"/>
        </w:rPr>
        <w:t>≥</w:t>
      </w:r>
      <w:r w:rsidR="002A78B5" w:rsidRPr="002A78B5">
        <w:rPr>
          <w:rFonts w:ascii="標楷體" w:eastAsia="標楷體" w:hAnsi="標楷體"/>
          <w:bCs/>
          <w:sz w:val="28"/>
          <w:szCs w:val="28"/>
        </w:rPr>
        <w:t>1000</w:t>
      </w:r>
      <w:r w:rsidR="002A78B5" w:rsidRPr="002A78B5">
        <w:rPr>
          <w:rFonts w:ascii="標楷體" w:eastAsia="標楷體" w:hAnsi="標楷體" w:cs="標楷體" w:hint="eastAsia"/>
          <w:bCs/>
          <w:sz w:val="28"/>
          <w:szCs w:val="28"/>
        </w:rPr>
        <w:t>°</w:t>
      </w:r>
      <w:r w:rsidR="002A78B5" w:rsidRPr="002A78B5">
        <w:rPr>
          <w:rFonts w:ascii="標楷體" w:eastAsia="標楷體" w:hAnsi="標楷體"/>
          <w:bCs/>
          <w:sz w:val="28"/>
          <w:szCs w:val="28"/>
        </w:rPr>
        <w:t>C</w:t>
      </w:r>
      <w:r w:rsidR="002A78B5" w:rsidRPr="002A78B5">
        <w:rPr>
          <w:rFonts w:ascii="標楷體" w:eastAsia="標楷體" w:hAnsi="標楷體" w:hint="eastAsia"/>
          <w:bCs/>
          <w:sz w:val="28"/>
          <w:szCs w:val="28"/>
        </w:rPr>
        <w:t>富氧鼓風，另一方面，則回收</w:t>
      </w:r>
      <w:r w:rsidR="002A78B5">
        <w:rPr>
          <w:rFonts w:ascii="標楷體" w:eastAsia="標楷體" w:hAnsi="標楷體" w:hint="eastAsia"/>
          <w:bCs/>
          <w:sz w:val="28"/>
          <w:szCs w:val="28"/>
        </w:rPr>
        <w:t>高爐氣</w:t>
      </w:r>
      <w:r w:rsidR="002A78B5" w:rsidRPr="002A78B5">
        <w:rPr>
          <w:rFonts w:ascii="標楷體" w:eastAsia="標楷體" w:hAnsi="標楷體" w:hint="eastAsia"/>
          <w:bCs/>
          <w:sz w:val="28"/>
          <w:szCs w:val="28"/>
        </w:rPr>
        <w:t>，通過水煤氣變換反應將其中的</w:t>
      </w:r>
      <w:r w:rsidR="002A78B5" w:rsidRPr="002A78B5">
        <w:rPr>
          <w:rFonts w:ascii="標楷體" w:eastAsia="標楷體" w:hAnsi="標楷體"/>
          <w:bCs/>
          <w:sz w:val="28"/>
          <w:szCs w:val="28"/>
        </w:rPr>
        <w:t>CO</w:t>
      </w:r>
      <w:r w:rsidR="002A78B5" w:rsidRPr="002A78B5">
        <w:rPr>
          <w:rFonts w:ascii="標楷體" w:eastAsia="標楷體" w:hAnsi="標楷體" w:hint="eastAsia"/>
          <w:bCs/>
          <w:sz w:val="28"/>
          <w:szCs w:val="28"/>
        </w:rPr>
        <w:t>轉化為</w:t>
      </w:r>
      <w:r w:rsidR="002A78B5" w:rsidRPr="002A78B5">
        <w:rPr>
          <w:rFonts w:ascii="標楷體" w:eastAsia="標楷體" w:hAnsi="標楷體"/>
          <w:bCs/>
          <w:sz w:val="28"/>
          <w:szCs w:val="28"/>
        </w:rPr>
        <w:t>CO</w:t>
      </w:r>
      <w:r w:rsidR="002A78B5" w:rsidRPr="002A78B5">
        <w:rPr>
          <w:rFonts w:ascii="標楷體" w:eastAsia="標楷體" w:hAnsi="標楷體"/>
          <w:bCs/>
          <w:sz w:val="28"/>
          <w:szCs w:val="28"/>
          <w:vertAlign w:val="subscript"/>
        </w:rPr>
        <w:t>2</w:t>
      </w:r>
      <w:r w:rsidR="002A78B5" w:rsidRPr="002A78B5">
        <w:rPr>
          <w:rFonts w:ascii="標楷體" w:eastAsia="標楷體" w:hAnsi="標楷體" w:hint="eastAsia"/>
          <w:bCs/>
          <w:sz w:val="28"/>
          <w:szCs w:val="28"/>
        </w:rPr>
        <w:t>和</w:t>
      </w:r>
      <w:r w:rsidR="002A78B5" w:rsidRPr="002A78B5">
        <w:rPr>
          <w:rFonts w:ascii="標楷體" w:eastAsia="標楷體" w:hAnsi="標楷體"/>
          <w:bCs/>
          <w:sz w:val="28"/>
          <w:szCs w:val="28"/>
        </w:rPr>
        <w:t>H</w:t>
      </w:r>
      <w:r w:rsidR="002A78B5" w:rsidRPr="002A78B5">
        <w:rPr>
          <w:rFonts w:ascii="標楷體" w:eastAsia="標楷體" w:hAnsi="標楷體"/>
          <w:bCs/>
          <w:sz w:val="28"/>
          <w:szCs w:val="28"/>
          <w:vertAlign w:val="subscript"/>
        </w:rPr>
        <w:t>2</w:t>
      </w:r>
      <w:r w:rsidR="002A78B5" w:rsidRPr="002A78B5">
        <w:rPr>
          <w:rFonts w:ascii="標楷體" w:eastAsia="標楷體" w:hAnsi="標楷體" w:hint="eastAsia"/>
          <w:bCs/>
          <w:sz w:val="28"/>
          <w:szCs w:val="28"/>
        </w:rPr>
        <w:t>；分離CO</w:t>
      </w:r>
      <w:r w:rsidR="002A78B5" w:rsidRPr="002A78B5">
        <w:rPr>
          <w:rFonts w:ascii="標楷體" w:eastAsia="標楷體" w:hAnsi="標楷體" w:hint="eastAsia"/>
          <w:bCs/>
          <w:sz w:val="28"/>
          <w:szCs w:val="28"/>
          <w:vertAlign w:val="subscript"/>
        </w:rPr>
        <w:t>2</w:t>
      </w:r>
      <w:r w:rsidR="002A78B5" w:rsidRPr="002A78B5">
        <w:rPr>
          <w:rFonts w:ascii="標楷體" w:eastAsia="標楷體" w:hAnsi="標楷體" w:hint="eastAsia"/>
          <w:bCs/>
          <w:sz w:val="28"/>
          <w:szCs w:val="28"/>
        </w:rPr>
        <w:t>得到富H</w:t>
      </w:r>
      <w:r w:rsidR="002A78B5" w:rsidRPr="002A78B5">
        <w:rPr>
          <w:rFonts w:ascii="標楷體" w:eastAsia="標楷體" w:hAnsi="標楷體" w:hint="eastAsia"/>
          <w:bCs/>
          <w:sz w:val="28"/>
          <w:szCs w:val="28"/>
          <w:vertAlign w:val="subscript"/>
        </w:rPr>
        <w:t>2</w:t>
      </w:r>
      <w:r w:rsidR="002A78B5" w:rsidRPr="002A78B5">
        <w:rPr>
          <w:rFonts w:ascii="標楷體" w:eastAsia="標楷體" w:hAnsi="標楷體" w:hint="eastAsia"/>
          <w:bCs/>
          <w:sz w:val="28"/>
          <w:szCs w:val="28"/>
        </w:rPr>
        <w:t>氣流，將其注入高爐</w:t>
      </w:r>
      <w:r w:rsidR="002A78B5">
        <w:rPr>
          <w:rFonts w:ascii="標楷體" w:eastAsia="標楷體" w:hAnsi="標楷體" w:hint="eastAsia"/>
          <w:bCs/>
          <w:sz w:val="28"/>
          <w:szCs w:val="28"/>
        </w:rPr>
        <w:t>爐身</w:t>
      </w:r>
      <w:r w:rsidR="002A78B5" w:rsidRPr="002A78B5">
        <w:rPr>
          <w:rFonts w:ascii="標楷體" w:eastAsia="標楷體" w:hAnsi="標楷體" w:hint="eastAsia"/>
          <w:bCs/>
          <w:sz w:val="28"/>
          <w:szCs w:val="28"/>
        </w:rPr>
        <w:t>。此外，亦可選擇性地添加外部生產的氫氣。</w:t>
      </w:r>
    </w:p>
    <w:p w:rsidR="00B7024B" w:rsidRPr="00D20B97" w:rsidRDefault="00B7024B" w:rsidP="00F42C6B">
      <w:pPr>
        <w:pStyle w:val="af0"/>
        <w:adjustRightInd w:val="0"/>
        <w:snapToGrid w:val="0"/>
        <w:spacing w:line="400" w:lineRule="exact"/>
        <w:ind w:leftChars="230" w:left="1418" w:hangingChars="309" w:hanging="866"/>
        <w:rPr>
          <w:rFonts w:ascii="標楷體" w:eastAsia="標楷體" w:hAnsi="標楷體"/>
          <w:bCs/>
          <w:sz w:val="28"/>
          <w:szCs w:val="28"/>
        </w:rPr>
      </w:pPr>
      <w:r w:rsidRPr="00B7024B">
        <w:rPr>
          <w:rFonts w:ascii="標楷體" w:eastAsia="標楷體" w:hAnsi="標楷體" w:hint="eastAsia"/>
          <w:b/>
          <w:bCs/>
          <w:sz w:val="28"/>
          <w:szCs w:val="28"/>
        </w:rPr>
        <w:t>效益：</w:t>
      </w:r>
      <w:r w:rsidR="00004CD9">
        <w:rPr>
          <w:rFonts w:ascii="標楷體" w:eastAsia="標楷體" w:hAnsi="標楷體" w:hint="eastAsia"/>
          <w:b/>
          <w:bCs/>
          <w:sz w:val="28"/>
          <w:szCs w:val="28"/>
        </w:rPr>
        <w:t>本案涉及高爐本體改造(爐身</w:t>
      </w:r>
      <w:r w:rsidR="00BD7043">
        <w:rPr>
          <w:rFonts w:ascii="標楷體" w:eastAsia="標楷體" w:hAnsi="標楷體" w:hint="eastAsia"/>
          <w:b/>
          <w:bCs/>
          <w:sz w:val="28"/>
          <w:szCs w:val="28"/>
        </w:rPr>
        <w:t>/風口</w:t>
      </w:r>
      <w:r w:rsidR="00004CD9">
        <w:rPr>
          <w:rFonts w:ascii="標楷體" w:eastAsia="標楷體" w:hAnsi="標楷體" w:hint="eastAsia"/>
          <w:b/>
          <w:bCs/>
          <w:sz w:val="28"/>
          <w:szCs w:val="28"/>
        </w:rPr>
        <w:t>噴吹)</w:t>
      </w:r>
      <w:r w:rsidR="00004CD9" w:rsidRPr="00004CD9">
        <w:rPr>
          <w:rFonts w:ascii="標楷體" w:eastAsia="標楷體" w:hAnsi="標楷體" w:hint="eastAsia"/>
          <w:bCs/>
          <w:sz w:val="28"/>
          <w:szCs w:val="28"/>
        </w:rPr>
        <w:t>，</w:t>
      </w:r>
      <w:r w:rsidR="00004CD9">
        <w:rPr>
          <w:rFonts w:ascii="標楷體" w:eastAsia="標楷體" w:hAnsi="標楷體" w:hint="eastAsia"/>
          <w:bCs/>
          <w:sz w:val="28"/>
          <w:szCs w:val="28"/>
        </w:rPr>
        <w:t>目的是希望</w:t>
      </w:r>
      <w:r w:rsidRPr="00B7024B">
        <w:rPr>
          <w:rFonts w:ascii="標楷體" w:eastAsia="標楷體" w:hAnsi="標楷體" w:hint="eastAsia"/>
          <w:bCs/>
          <w:sz w:val="28"/>
          <w:szCs w:val="28"/>
        </w:rPr>
        <w:t>能夠適應不同氫氣供應情況，以全甲烷</w:t>
      </w:r>
      <w:r w:rsidR="00004CD9">
        <w:rPr>
          <w:rFonts w:ascii="標楷體" w:eastAsia="標楷體" w:hAnsi="標楷體" w:hint="eastAsia"/>
          <w:bCs/>
          <w:sz w:val="28"/>
          <w:szCs w:val="28"/>
        </w:rPr>
        <w:t>、全氫氣或混合模式運行，並可逐步提高還原氣</w:t>
      </w:r>
      <w:r w:rsidR="00004CD9">
        <w:rPr>
          <w:rFonts w:ascii="標楷體" w:eastAsia="標楷體" w:hAnsi="標楷體" w:hint="eastAsia"/>
          <w:bCs/>
          <w:sz w:val="28"/>
          <w:szCs w:val="28"/>
        </w:rPr>
        <w:lastRenderedPageBreak/>
        <w:t>中的氫氣含量，達成</w:t>
      </w:r>
      <w:r w:rsidRPr="00B7024B">
        <w:rPr>
          <w:rFonts w:ascii="標楷體" w:eastAsia="標楷體" w:hAnsi="標楷體" w:hint="eastAsia"/>
          <w:bCs/>
          <w:sz w:val="28"/>
          <w:szCs w:val="28"/>
        </w:rPr>
        <w:t>純氫還原製程。</w:t>
      </w:r>
    </w:p>
    <w:p w:rsidR="00D20B97" w:rsidRPr="00F42C6B" w:rsidRDefault="00920F6F" w:rsidP="00E24975">
      <w:pPr>
        <w:pStyle w:val="af0"/>
        <w:numPr>
          <w:ilvl w:val="0"/>
          <w:numId w:val="9"/>
        </w:numPr>
        <w:adjustRightInd w:val="0"/>
        <w:snapToGrid w:val="0"/>
        <w:spacing w:beforeLines="50" w:before="180" w:line="400" w:lineRule="exact"/>
        <w:ind w:leftChars="0" w:left="567"/>
        <w:rPr>
          <w:rFonts w:ascii="標楷體" w:eastAsia="標楷體" w:hAnsi="標楷體"/>
          <w:b/>
          <w:bCs/>
          <w:color w:val="0000CC"/>
          <w:sz w:val="28"/>
          <w:szCs w:val="28"/>
        </w:rPr>
      </w:pPr>
      <w:r w:rsidRPr="00F42C6B">
        <w:rPr>
          <w:rFonts w:ascii="標楷體" w:eastAsia="標楷體" w:hAnsi="標楷體"/>
          <w:b/>
          <w:bCs/>
          <w:color w:val="0000CC"/>
          <w:sz w:val="28"/>
          <w:szCs w:val="28"/>
        </w:rPr>
        <w:t xml:space="preserve">ThyssenKrupp </w:t>
      </w:r>
      <w:r w:rsidRPr="00F42C6B">
        <w:rPr>
          <w:rFonts w:ascii="標楷體" w:eastAsia="標楷體" w:hAnsi="標楷體" w:hint="eastAsia"/>
          <w:b/>
          <w:bCs/>
          <w:color w:val="0000CC"/>
          <w:sz w:val="28"/>
          <w:szCs w:val="28"/>
        </w:rPr>
        <w:t>針對電爐煉鋼與直接還原鐵製程，設計協同操作系統</w:t>
      </w:r>
    </w:p>
    <w:p w:rsidR="002A78B5" w:rsidRDefault="00B7024B" w:rsidP="00F42C6B">
      <w:pPr>
        <w:pStyle w:val="af0"/>
        <w:adjustRightInd w:val="0"/>
        <w:snapToGrid w:val="0"/>
        <w:spacing w:line="400" w:lineRule="exact"/>
        <w:ind w:leftChars="230" w:left="1418" w:hangingChars="309" w:hanging="866"/>
        <w:rPr>
          <w:rFonts w:ascii="標楷體" w:eastAsia="標楷體" w:hAnsi="標楷體"/>
          <w:bCs/>
          <w:sz w:val="28"/>
          <w:szCs w:val="28"/>
        </w:rPr>
      </w:pPr>
      <w:r w:rsidRPr="00B7024B">
        <w:rPr>
          <w:rFonts w:ascii="標楷體" w:eastAsia="標楷體" w:hAnsi="標楷體" w:hint="eastAsia"/>
          <w:b/>
          <w:bCs/>
          <w:sz w:val="28"/>
          <w:szCs w:val="28"/>
        </w:rPr>
        <w:t>方案：</w:t>
      </w:r>
      <w:r w:rsidRPr="00B7024B">
        <w:rPr>
          <w:rFonts w:ascii="標楷體" w:eastAsia="標楷體" w:hAnsi="標楷體" w:hint="eastAsia"/>
          <w:bCs/>
          <w:sz w:val="28"/>
          <w:szCs w:val="28"/>
        </w:rPr>
        <w:t>本案涉及電爐煉鋼與直接還原鐵製程結合的操作系統</w:t>
      </w:r>
      <w:r>
        <w:rPr>
          <w:rFonts w:ascii="標楷體" w:eastAsia="標楷體" w:hAnsi="標楷體" w:hint="eastAsia"/>
          <w:bCs/>
          <w:sz w:val="28"/>
          <w:szCs w:val="28"/>
        </w:rPr>
        <w:t>，</w:t>
      </w:r>
      <w:r w:rsidRPr="00B7024B">
        <w:rPr>
          <w:rFonts w:ascii="標楷體" w:eastAsia="標楷體" w:hAnsi="標楷體" w:hint="eastAsia"/>
          <w:bCs/>
          <w:sz w:val="28"/>
          <w:szCs w:val="28"/>
        </w:rPr>
        <w:t>在正常運行模式下，直接還原設備持續生產直接還原鐵，</w:t>
      </w:r>
      <w:bookmarkStart w:id="0" w:name="_GoBack"/>
      <w:bookmarkEnd w:id="0"/>
      <w:r w:rsidRPr="00B7024B">
        <w:rPr>
          <w:rFonts w:ascii="標楷體" w:eastAsia="標楷體" w:hAnsi="標楷體" w:hint="eastAsia"/>
          <w:bCs/>
          <w:sz w:val="28"/>
          <w:szCs w:val="28"/>
        </w:rPr>
        <w:t>直接還原鐵則被連續輸送到電爐，鋼液則被傾倒至盛鋼桶。而</w:t>
      </w:r>
      <w:r w:rsidRPr="00A91716">
        <w:rPr>
          <w:rFonts w:ascii="標楷體" w:eastAsia="標楷體" w:hAnsi="標楷體" w:hint="eastAsia"/>
          <w:b/>
          <w:bCs/>
          <w:sz w:val="28"/>
          <w:szCs w:val="28"/>
        </w:rPr>
        <w:t>在盛鋼桶無法調度時，將開啟緩衝運行模式，系統會減少或停止向電爐輸入材料</w:t>
      </w:r>
      <w:r w:rsidRPr="00B7024B">
        <w:rPr>
          <w:rFonts w:ascii="標楷體" w:eastAsia="標楷體" w:hAnsi="標楷體" w:hint="eastAsia"/>
          <w:bCs/>
          <w:sz w:val="28"/>
          <w:szCs w:val="28"/>
        </w:rPr>
        <w:t>，以防止電爐過滿而引發安全問題。</w:t>
      </w:r>
    </w:p>
    <w:p w:rsidR="00B7024B" w:rsidRPr="00D20B97" w:rsidRDefault="00B7024B" w:rsidP="00F42C6B">
      <w:pPr>
        <w:pStyle w:val="af0"/>
        <w:adjustRightInd w:val="0"/>
        <w:snapToGrid w:val="0"/>
        <w:spacing w:line="400" w:lineRule="exact"/>
        <w:ind w:leftChars="230" w:left="1418" w:hangingChars="309" w:hanging="866"/>
        <w:rPr>
          <w:rFonts w:ascii="標楷體" w:eastAsia="標楷體" w:hAnsi="標楷體"/>
          <w:bCs/>
          <w:sz w:val="28"/>
          <w:szCs w:val="28"/>
        </w:rPr>
      </w:pPr>
      <w:r>
        <w:rPr>
          <w:rFonts w:ascii="標楷體" w:eastAsia="標楷體" w:hAnsi="標楷體" w:hint="eastAsia"/>
          <w:b/>
          <w:bCs/>
          <w:sz w:val="28"/>
          <w:szCs w:val="28"/>
        </w:rPr>
        <w:t>效益：</w:t>
      </w:r>
      <w:r w:rsidRPr="00B7024B">
        <w:rPr>
          <w:rFonts w:ascii="標楷體" w:eastAsia="標楷體" w:hAnsi="標楷體" w:hint="eastAsia"/>
          <w:bCs/>
          <w:sz w:val="28"/>
          <w:szCs w:val="28"/>
        </w:rPr>
        <w:t>使電爐煉鋼各工序有更好協調，並在盛鋼桶供應充足時保持正常運行狀態，避免因調度問題而導致生產中斷。</w:t>
      </w:r>
    </w:p>
    <w:p w:rsidR="00D20B97" w:rsidRPr="00F42C6B" w:rsidRDefault="00505B1F" w:rsidP="00E24975">
      <w:pPr>
        <w:pStyle w:val="af0"/>
        <w:numPr>
          <w:ilvl w:val="0"/>
          <w:numId w:val="9"/>
        </w:numPr>
        <w:adjustRightInd w:val="0"/>
        <w:snapToGrid w:val="0"/>
        <w:spacing w:beforeLines="50" w:before="180" w:line="400" w:lineRule="exact"/>
        <w:ind w:leftChars="0" w:left="567" w:hanging="357"/>
        <w:jc w:val="both"/>
        <w:rPr>
          <w:rFonts w:ascii="標楷體" w:eastAsia="標楷體" w:hAnsi="標楷體"/>
          <w:b/>
          <w:bCs/>
          <w:color w:val="0000CC"/>
          <w:sz w:val="28"/>
          <w:szCs w:val="28"/>
        </w:rPr>
      </w:pPr>
      <w:r w:rsidRPr="00F42C6B">
        <w:rPr>
          <w:rFonts w:ascii="標楷體" w:eastAsia="標楷體" w:hAnsi="標楷體" w:hint="eastAsia"/>
          <w:b/>
          <w:bCs/>
          <w:color w:val="0000CC"/>
          <w:sz w:val="28"/>
          <w:szCs w:val="28"/>
        </w:rPr>
        <w:t>寶山鋼鐵對氧氣高爐即時氫利用率作準確計算</w:t>
      </w:r>
      <w:r w:rsidR="000F3269" w:rsidRPr="00F42C6B">
        <w:rPr>
          <w:rFonts w:ascii="標楷體" w:eastAsia="標楷體" w:hAnsi="標楷體" w:hint="eastAsia"/>
          <w:b/>
          <w:bCs/>
          <w:color w:val="0000CC"/>
          <w:sz w:val="28"/>
          <w:szCs w:val="28"/>
        </w:rPr>
        <w:t>，精進</w:t>
      </w:r>
      <w:r w:rsidR="000F3269" w:rsidRPr="00F42C6B">
        <w:rPr>
          <w:rFonts w:ascii="標楷體" w:eastAsia="標楷體" w:hAnsi="標楷體"/>
          <w:b/>
          <w:bCs/>
          <w:color w:val="0000CC"/>
          <w:sz w:val="28"/>
          <w:szCs w:val="28"/>
        </w:rPr>
        <w:t>HyCORF</w:t>
      </w:r>
      <w:r w:rsidR="000F3269" w:rsidRPr="00F42C6B">
        <w:rPr>
          <w:rFonts w:ascii="標楷體" w:eastAsia="標楷體" w:hAnsi="標楷體" w:hint="eastAsia"/>
          <w:b/>
          <w:bCs/>
          <w:color w:val="0000CC"/>
          <w:sz w:val="28"/>
          <w:szCs w:val="28"/>
        </w:rPr>
        <w:t>技術</w:t>
      </w:r>
    </w:p>
    <w:p w:rsidR="00A85A9C" w:rsidRDefault="00A85A9C" w:rsidP="00F42C6B">
      <w:pPr>
        <w:pStyle w:val="af0"/>
        <w:adjustRightInd w:val="0"/>
        <w:snapToGrid w:val="0"/>
        <w:spacing w:line="400" w:lineRule="exact"/>
        <w:ind w:leftChars="230" w:left="1418" w:hangingChars="309" w:hanging="866"/>
        <w:rPr>
          <w:rFonts w:ascii="標楷體" w:eastAsia="標楷體" w:hAnsi="標楷體"/>
          <w:bCs/>
          <w:sz w:val="28"/>
          <w:szCs w:val="28"/>
        </w:rPr>
      </w:pPr>
      <w:r w:rsidRPr="00A85A9C">
        <w:rPr>
          <w:rFonts w:ascii="標楷體" w:eastAsia="標楷體" w:hAnsi="標楷體" w:hint="eastAsia"/>
          <w:b/>
          <w:bCs/>
          <w:sz w:val="28"/>
          <w:szCs w:val="28"/>
        </w:rPr>
        <w:t>方案：</w:t>
      </w:r>
      <w:r w:rsidR="00877CE5" w:rsidRPr="00877CE5">
        <w:rPr>
          <w:rFonts w:ascii="標楷體" w:eastAsia="標楷體" w:hAnsi="標楷體" w:hint="eastAsia"/>
          <w:bCs/>
          <w:sz w:val="28"/>
          <w:szCs w:val="28"/>
        </w:rPr>
        <w:t>寶鋼近年</w:t>
      </w:r>
      <w:r w:rsidR="00877CE5">
        <w:rPr>
          <w:rFonts w:ascii="標楷體" w:eastAsia="標楷體" w:hAnsi="標楷體" w:hint="eastAsia"/>
          <w:bCs/>
          <w:sz w:val="28"/>
          <w:szCs w:val="28"/>
        </w:rPr>
        <w:t>在低碳高爐係發展富氫碳循環氧氣高爐-</w:t>
      </w:r>
      <w:r w:rsidR="00004CD9">
        <w:rPr>
          <w:rFonts w:ascii="標楷體" w:eastAsia="標楷體" w:hAnsi="標楷體" w:hint="eastAsia"/>
          <w:bCs/>
          <w:sz w:val="28"/>
          <w:szCs w:val="28"/>
        </w:rPr>
        <w:t>-</w:t>
      </w:r>
      <w:r w:rsidR="00877CE5">
        <w:rPr>
          <w:rFonts w:ascii="標楷體" w:eastAsia="標楷體" w:hAnsi="標楷體"/>
          <w:bCs/>
          <w:sz w:val="28"/>
          <w:szCs w:val="28"/>
        </w:rPr>
        <w:t>HyCORF</w:t>
      </w:r>
      <w:r w:rsidR="00877CE5">
        <w:rPr>
          <w:rFonts w:ascii="標楷體" w:eastAsia="標楷體" w:hAnsi="標楷體" w:hint="eastAsia"/>
          <w:bCs/>
          <w:sz w:val="28"/>
          <w:szCs w:val="28"/>
        </w:rPr>
        <w:t>技術，</w:t>
      </w:r>
      <w:r w:rsidR="00004CD9">
        <w:rPr>
          <w:rFonts w:ascii="標楷體" w:eastAsia="標楷體" w:hAnsi="標楷體" w:hint="eastAsia"/>
          <w:bCs/>
          <w:sz w:val="28"/>
          <w:szCs w:val="28"/>
        </w:rPr>
        <w:t>本專利即為HyCORF技術一環，係</w:t>
      </w:r>
      <w:r w:rsidRPr="00A85A9C">
        <w:rPr>
          <w:rFonts w:ascii="標楷體" w:eastAsia="標楷體" w:hAnsi="標楷體" w:hint="eastAsia"/>
          <w:bCs/>
          <w:sz w:val="28"/>
          <w:szCs w:val="28"/>
        </w:rPr>
        <w:t>基於氫元素質量守恆，根據入爐原燃料質量、氣量及相應氫元素的比例，實時計算</w:t>
      </w:r>
      <w:r w:rsidR="00004CD9">
        <w:rPr>
          <w:rFonts w:ascii="標楷體" w:eastAsia="標楷體" w:hAnsi="標楷體" w:hint="eastAsia"/>
          <w:bCs/>
          <w:sz w:val="28"/>
          <w:szCs w:val="28"/>
        </w:rPr>
        <w:t>入爐氫總量；根據出爐排放物料的質量和氣量及相應氫元素的比例，</w:t>
      </w:r>
      <w:r w:rsidRPr="00A85A9C">
        <w:rPr>
          <w:rFonts w:ascii="標楷體" w:eastAsia="標楷體" w:hAnsi="標楷體" w:hint="eastAsia"/>
          <w:bCs/>
          <w:sz w:val="28"/>
          <w:szCs w:val="28"/>
        </w:rPr>
        <w:t>計算未參與還原反應的氫總量。</w:t>
      </w:r>
      <w:r w:rsidRPr="00004CD9">
        <w:rPr>
          <w:rFonts w:ascii="標楷體" w:eastAsia="標楷體" w:hAnsi="標楷體" w:hint="eastAsia"/>
          <w:b/>
          <w:bCs/>
          <w:sz w:val="28"/>
          <w:szCs w:val="28"/>
        </w:rPr>
        <w:t>根據實時計算出的入爐氫總量及出爐排放物料中未參與還原反應的氫總量，確定該時刻的氫利用率。</w:t>
      </w:r>
    </w:p>
    <w:p w:rsidR="00A85A9C" w:rsidRPr="00A85A9C" w:rsidRDefault="00A85A9C" w:rsidP="00F42C6B">
      <w:pPr>
        <w:pStyle w:val="af0"/>
        <w:adjustRightInd w:val="0"/>
        <w:snapToGrid w:val="0"/>
        <w:spacing w:line="400" w:lineRule="exact"/>
        <w:ind w:leftChars="230" w:left="1418" w:hangingChars="309" w:hanging="866"/>
        <w:rPr>
          <w:rFonts w:ascii="標楷體" w:eastAsia="標楷體" w:hAnsi="標楷體"/>
          <w:bCs/>
          <w:sz w:val="28"/>
          <w:szCs w:val="28"/>
        </w:rPr>
      </w:pPr>
      <w:r w:rsidRPr="00A85A9C">
        <w:rPr>
          <w:rFonts w:ascii="標楷體" w:eastAsia="標楷體" w:hAnsi="標楷體" w:hint="eastAsia"/>
          <w:b/>
          <w:bCs/>
          <w:sz w:val="28"/>
          <w:szCs w:val="28"/>
        </w:rPr>
        <w:t>效益：</w:t>
      </w:r>
      <w:r w:rsidRPr="00A85A9C">
        <w:rPr>
          <w:rFonts w:ascii="標楷體" w:eastAsia="標楷體" w:hAnsi="標楷體" w:hint="eastAsia"/>
          <w:bCs/>
          <w:sz w:val="28"/>
          <w:szCs w:val="28"/>
        </w:rPr>
        <w:t>提供了可實時準確計算出氫利用率的方法，方便氫利用率的實時掌握，為優化高爐操作的重要參考。</w:t>
      </w:r>
    </w:p>
    <w:p w:rsidR="002A78B5" w:rsidRPr="00A13BCE" w:rsidRDefault="00505B1F" w:rsidP="00E24975">
      <w:pPr>
        <w:pStyle w:val="af0"/>
        <w:numPr>
          <w:ilvl w:val="0"/>
          <w:numId w:val="9"/>
        </w:numPr>
        <w:adjustRightInd w:val="0"/>
        <w:snapToGrid w:val="0"/>
        <w:spacing w:beforeLines="50" w:before="180"/>
        <w:ind w:leftChars="0" w:left="567"/>
        <w:jc w:val="both"/>
        <w:rPr>
          <w:rFonts w:ascii="標楷體" w:eastAsia="標楷體" w:hAnsi="標楷體"/>
          <w:b/>
          <w:bCs/>
          <w:sz w:val="28"/>
          <w:szCs w:val="28"/>
        </w:rPr>
      </w:pPr>
      <w:r w:rsidRPr="00F42C6B">
        <w:rPr>
          <w:rFonts w:ascii="標楷體" w:eastAsia="標楷體" w:hAnsi="標楷體" w:hint="eastAsia"/>
          <w:b/>
          <w:bCs/>
          <w:color w:val="0000CC"/>
          <w:sz w:val="28"/>
          <w:szCs w:val="28"/>
        </w:rPr>
        <w:t>首鋼集團開發</w:t>
      </w:r>
      <w:r w:rsidR="002A78B5" w:rsidRPr="00F42C6B">
        <w:rPr>
          <w:rFonts w:ascii="標楷體" w:eastAsia="標楷體" w:hAnsi="標楷體" w:hint="eastAsia"/>
          <w:b/>
          <w:bCs/>
          <w:color w:val="0000CC"/>
          <w:sz w:val="28"/>
          <w:szCs w:val="28"/>
        </w:rPr>
        <w:t>高爐煤氣</w:t>
      </w:r>
      <w:r w:rsidR="00A53420" w:rsidRPr="00F42C6B">
        <w:rPr>
          <w:rFonts w:ascii="標楷體" w:eastAsia="標楷體" w:hAnsi="標楷體" w:hint="eastAsia"/>
          <w:b/>
          <w:bCs/>
          <w:color w:val="0000CC"/>
          <w:sz w:val="28"/>
          <w:szCs w:val="28"/>
        </w:rPr>
        <w:t>新利用，並結合高爐富氧噴吹製程</w:t>
      </w:r>
    </w:p>
    <w:p w:rsidR="00A85A9C" w:rsidRPr="000F3269" w:rsidRDefault="00FD372C" w:rsidP="00F42C6B">
      <w:pPr>
        <w:pStyle w:val="af0"/>
        <w:adjustRightInd w:val="0"/>
        <w:snapToGrid w:val="0"/>
        <w:spacing w:line="400" w:lineRule="exact"/>
        <w:ind w:leftChars="230" w:left="1418" w:hangingChars="309" w:hanging="866"/>
        <w:rPr>
          <w:rFonts w:ascii="標楷體" w:eastAsia="標楷體" w:hAnsi="標楷體"/>
          <w:bCs/>
          <w:sz w:val="28"/>
          <w:szCs w:val="28"/>
        </w:rPr>
      </w:pPr>
      <w:r w:rsidRPr="005221E2">
        <w:rPr>
          <w:rFonts w:ascii="標楷體" w:eastAsia="標楷體" w:hAnsi="標楷體" w:hint="eastAsia"/>
          <w:b/>
          <w:bCs/>
          <w:sz w:val="28"/>
          <w:szCs w:val="28"/>
        </w:rPr>
        <w:t>方案：</w:t>
      </w:r>
      <w:r w:rsidRPr="00FD372C">
        <w:rPr>
          <w:rFonts w:ascii="標楷體" w:eastAsia="標楷體" w:hAnsi="標楷體" w:hint="eastAsia"/>
          <w:bCs/>
          <w:sz w:val="28"/>
          <w:szCs w:val="28"/>
        </w:rPr>
        <w:t>先</w:t>
      </w:r>
      <w:r w:rsidRPr="00B31DB7">
        <w:rPr>
          <w:rFonts w:ascii="標楷體" w:eastAsia="標楷體" w:hAnsi="標楷體" w:hint="eastAsia"/>
          <w:bCs/>
          <w:sz w:val="28"/>
          <w:szCs w:val="28"/>
        </w:rPr>
        <w:t>將高</w:t>
      </w:r>
      <w:r w:rsidRPr="000F3269">
        <w:rPr>
          <w:rFonts w:ascii="標楷體" w:eastAsia="標楷體" w:hAnsi="標楷體" w:hint="eastAsia"/>
          <w:bCs/>
          <w:sz w:val="28"/>
          <w:szCs w:val="28"/>
        </w:rPr>
        <w:t>爐煤氣進行除塵</w:t>
      </w:r>
      <w:r w:rsidR="003F3F38">
        <w:rPr>
          <w:rFonts w:ascii="標楷體" w:eastAsia="標楷體" w:hAnsi="標楷體" w:hint="eastAsia"/>
          <w:bCs/>
          <w:sz w:val="28"/>
          <w:szCs w:val="28"/>
        </w:rPr>
        <w:t>，</w:t>
      </w:r>
      <w:r w:rsidRPr="000F3269">
        <w:rPr>
          <w:rFonts w:ascii="標楷體" w:eastAsia="標楷體" w:hAnsi="標楷體" w:hint="eastAsia"/>
          <w:bCs/>
          <w:sz w:val="28"/>
          <w:szCs w:val="28"/>
        </w:rPr>
        <w:t>得到除塵煤氣</w:t>
      </w:r>
      <w:r w:rsidR="003A706E">
        <w:rPr>
          <w:rFonts w:ascii="標楷體" w:eastAsia="標楷體" w:hAnsi="標楷體" w:hint="eastAsia"/>
          <w:bCs/>
          <w:sz w:val="28"/>
          <w:szCs w:val="28"/>
        </w:rPr>
        <w:t>1</w:t>
      </w:r>
      <w:r w:rsidRPr="000F3269">
        <w:rPr>
          <w:rFonts w:ascii="標楷體" w:eastAsia="標楷體" w:hAnsi="標楷體" w:hint="eastAsia"/>
          <w:bCs/>
          <w:sz w:val="28"/>
          <w:szCs w:val="28"/>
        </w:rPr>
        <w:t>，利用除塵煤氣</w:t>
      </w:r>
      <w:r w:rsidR="003A706E">
        <w:rPr>
          <w:rFonts w:ascii="標楷體" w:eastAsia="標楷體" w:hAnsi="標楷體" w:hint="eastAsia"/>
          <w:bCs/>
          <w:sz w:val="28"/>
          <w:szCs w:val="28"/>
        </w:rPr>
        <w:t>1</w:t>
      </w:r>
      <w:r w:rsidRPr="000F3269">
        <w:rPr>
          <w:rFonts w:ascii="標楷體" w:eastAsia="標楷體" w:hAnsi="標楷體" w:hint="eastAsia"/>
          <w:bCs/>
          <w:sz w:val="28"/>
          <w:szCs w:val="28"/>
        </w:rPr>
        <w:t>的壓力能和熱能進行發電，得到電能和除塵煤氣</w:t>
      </w:r>
      <w:r w:rsidR="003A706E">
        <w:rPr>
          <w:rFonts w:ascii="標楷體" w:eastAsia="標楷體" w:hAnsi="標楷體" w:hint="eastAsia"/>
          <w:bCs/>
          <w:sz w:val="28"/>
          <w:szCs w:val="28"/>
        </w:rPr>
        <w:t>2</w:t>
      </w:r>
      <w:r w:rsidRPr="000F3269">
        <w:rPr>
          <w:rFonts w:ascii="標楷體" w:eastAsia="標楷體" w:hAnsi="標楷體" w:hint="eastAsia"/>
          <w:bCs/>
          <w:sz w:val="28"/>
          <w:szCs w:val="28"/>
        </w:rPr>
        <w:t>。將除塵煤氣</w:t>
      </w:r>
      <w:r w:rsidR="003A706E">
        <w:rPr>
          <w:rFonts w:ascii="標楷體" w:eastAsia="標楷體" w:hAnsi="標楷體" w:hint="eastAsia"/>
          <w:bCs/>
          <w:sz w:val="28"/>
          <w:szCs w:val="28"/>
        </w:rPr>
        <w:t>2</w:t>
      </w:r>
      <w:r w:rsidRPr="000F3269">
        <w:rPr>
          <w:rFonts w:ascii="標楷體" w:eastAsia="標楷體" w:hAnsi="標楷體" w:hint="eastAsia"/>
          <w:bCs/>
          <w:sz w:val="28"/>
          <w:szCs w:val="28"/>
        </w:rPr>
        <w:t>進行淨化分離，得</w:t>
      </w:r>
      <w:r w:rsidRPr="000F3269">
        <w:rPr>
          <w:rFonts w:ascii="標楷體" w:eastAsia="標楷體" w:hAnsi="標楷體"/>
          <w:bCs/>
          <w:sz w:val="28"/>
          <w:szCs w:val="28"/>
        </w:rPr>
        <w:t>CO</w:t>
      </w:r>
      <w:r w:rsidRPr="000F3269">
        <w:rPr>
          <w:rFonts w:ascii="標楷體" w:eastAsia="標楷體" w:hAnsi="標楷體"/>
          <w:bCs/>
          <w:sz w:val="28"/>
          <w:szCs w:val="28"/>
          <w:vertAlign w:val="subscript"/>
        </w:rPr>
        <w:t>2</w:t>
      </w:r>
      <w:r w:rsidRPr="000F3269">
        <w:rPr>
          <w:rFonts w:ascii="標楷體" w:eastAsia="標楷體" w:hAnsi="標楷體" w:hint="eastAsia"/>
          <w:bCs/>
          <w:sz w:val="28"/>
          <w:szCs w:val="28"/>
        </w:rPr>
        <w:t>與</w:t>
      </w:r>
      <w:r w:rsidRPr="000F3269">
        <w:rPr>
          <w:rFonts w:ascii="標楷體" w:eastAsia="標楷體" w:hAnsi="標楷體"/>
          <w:bCs/>
          <w:sz w:val="28"/>
          <w:szCs w:val="28"/>
        </w:rPr>
        <w:t>CO</w:t>
      </w:r>
      <w:r w:rsidRPr="000F3269">
        <w:rPr>
          <w:rFonts w:ascii="標楷體" w:eastAsia="標楷體" w:hAnsi="標楷體" w:hint="eastAsia"/>
          <w:bCs/>
          <w:sz w:val="28"/>
          <w:szCs w:val="28"/>
        </w:rPr>
        <w:t>，將</w:t>
      </w:r>
      <w:r w:rsidRPr="000F3269">
        <w:rPr>
          <w:rFonts w:ascii="標楷體" w:eastAsia="標楷體" w:hAnsi="標楷體"/>
          <w:bCs/>
          <w:sz w:val="28"/>
          <w:szCs w:val="28"/>
        </w:rPr>
        <w:t>CO</w:t>
      </w:r>
      <w:r w:rsidRPr="000F3269">
        <w:rPr>
          <w:rFonts w:ascii="標楷體" w:eastAsia="標楷體" w:hAnsi="標楷體"/>
          <w:bCs/>
          <w:sz w:val="28"/>
          <w:szCs w:val="28"/>
          <w:vertAlign w:val="subscript"/>
        </w:rPr>
        <w:t>2</w:t>
      </w:r>
      <w:r w:rsidRPr="000F3269">
        <w:rPr>
          <w:rFonts w:ascii="標楷體" w:eastAsia="標楷體" w:hAnsi="標楷體" w:hint="eastAsia"/>
          <w:bCs/>
          <w:sz w:val="28"/>
          <w:szCs w:val="28"/>
        </w:rPr>
        <w:t>加熱至</w:t>
      </w:r>
      <w:r w:rsidRPr="000F3269">
        <w:rPr>
          <w:rFonts w:ascii="標楷體" w:eastAsia="標楷體" w:hAnsi="標楷體"/>
          <w:bCs/>
          <w:sz w:val="28"/>
          <w:szCs w:val="28"/>
        </w:rPr>
        <w:t>700~800</w:t>
      </w:r>
      <w:r w:rsidRPr="000F3269">
        <w:rPr>
          <w:rFonts w:ascii="標楷體" w:eastAsia="標楷體" w:hAnsi="標楷體" w:hint="eastAsia"/>
          <w:bCs/>
          <w:sz w:val="28"/>
          <w:szCs w:val="28"/>
        </w:rPr>
        <w:t>°</w:t>
      </w:r>
      <w:r w:rsidRPr="000F3269">
        <w:rPr>
          <w:rFonts w:ascii="標楷體" w:eastAsia="標楷體" w:hAnsi="標楷體"/>
          <w:bCs/>
          <w:sz w:val="28"/>
          <w:szCs w:val="28"/>
        </w:rPr>
        <w:t>C</w:t>
      </w:r>
      <w:r w:rsidRPr="000F3269">
        <w:rPr>
          <w:rFonts w:ascii="標楷體" w:eastAsia="標楷體" w:hAnsi="標楷體" w:hint="eastAsia"/>
          <w:bCs/>
          <w:sz w:val="28"/>
          <w:szCs w:val="28"/>
        </w:rPr>
        <w:t>電解，得到</w:t>
      </w:r>
      <w:r w:rsidRPr="000F3269">
        <w:rPr>
          <w:rFonts w:ascii="標楷體" w:eastAsia="標楷體" w:hAnsi="標楷體"/>
          <w:bCs/>
          <w:sz w:val="28"/>
          <w:szCs w:val="28"/>
        </w:rPr>
        <w:t>CO</w:t>
      </w:r>
      <w:r w:rsidRPr="000F3269">
        <w:rPr>
          <w:rFonts w:ascii="標楷體" w:eastAsia="標楷體" w:hAnsi="標楷體" w:hint="eastAsia"/>
          <w:bCs/>
          <w:sz w:val="28"/>
          <w:szCs w:val="28"/>
        </w:rPr>
        <w:t>與</w:t>
      </w:r>
      <w:r w:rsidRPr="000F3269">
        <w:rPr>
          <w:rFonts w:ascii="標楷體" w:eastAsia="標楷體" w:hAnsi="標楷體"/>
          <w:bCs/>
          <w:sz w:val="28"/>
          <w:szCs w:val="28"/>
        </w:rPr>
        <w:t>O</w:t>
      </w:r>
      <w:r w:rsidRPr="000F3269">
        <w:rPr>
          <w:rFonts w:ascii="標楷體" w:eastAsia="標楷體" w:hAnsi="標楷體"/>
          <w:bCs/>
          <w:sz w:val="28"/>
          <w:szCs w:val="28"/>
          <w:vertAlign w:val="subscript"/>
        </w:rPr>
        <w:t>2</w:t>
      </w:r>
      <w:r w:rsidRPr="000F3269">
        <w:rPr>
          <w:rFonts w:ascii="標楷體" w:eastAsia="標楷體" w:hAnsi="標楷體" w:hint="eastAsia"/>
          <w:bCs/>
          <w:sz w:val="28"/>
          <w:szCs w:val="28"/>
        </w:rPr>
        <w:t>。將</w:t>
      </w:r>
      <w:r w:rsidR="003A706E">
        <w:rPr>
          <w:rFonts w:ascii="標楷體" w:eastAsia="標楷體" w:hAnsi="標楷體" w:hint="eastAsia"/>
          <w:bCs/>
          <w:sz w:val="28"/>
          <w:szCs w:val="28"/>
        </w:rPr>
        <w:t>前述</w:t>
      </w:r>
      <w:r w:rsidRPr="000F3269">
        <w:rPr>
          <w:rFonts w:ascii="標楷體" w:eastAsia="標楷體" w:hAnsi="標楷體" w:hint="eastAsia"/>
          <w:bCs/>
          <w:sz w:val="28"/>
          <w:szCs w:val="28"/>
        </w:rPr>
        <w:t>二</w:t>
      </w:r>
      <w:r w:rsidRPr="000F3269">
        <w:rPr>
          <w:rFonts w:ascii="標楷體" w:eastAsia="標楷體" w:hAnsi="標楷體"/>
          <w:bCs/>
          <w:sz w:val="28"/>
          <w:szCs w:val="28"/>
        </w:rPr>
        <w:t>CO</w:t>
      </w:r>
      <w:r w:rsidRPr="000F3269">
        <w:rPr>
          <w:rFonts w:ascii="標楷體" w:eastAsia="標楷體" w:hAnsi="標楷體" w:hint="eastAsia"/>
          <w:bCs/>
          <w:sz w:val="28"/>
          <w:szCs w:val="28"/>
        </w:rPr>
        <w:t>輸送至高爐爐身進行還原反應，</w:t>
      </w:r>
      <w:r w:rsidRPr="000F3269">
        <w:rPr>
          <w:rFonts w:ascii="標楷體" w:eastAsia="標楷體" w:hAnsi="標楷體"/>
          <w:bCs/>
          <w:sz w:val="28"/>
          <w:szCs w:val="28"/>
        </w:rPr>
        <w:t>O</w:t>
      </w:r>
      <w:r w:rsidRPr="000F3269">
        <w:rPr>
          <w:rFonts w:ascii="標楷體" w:eastAsia="標楷體" w:hAnsi="標楷體"/>
          <w:bCs/>
          <w:sz w:val="28"/>
          <w:szCs w:val="28"/>
          <w:vertAlign w:val="subscript"/>
        </w:rPr>
        <w:t>2</w:t>
      </w:r>
      <w:r w:rsidRPr="000F3269">
        <w:rPr>
          <w:rFonts w:ascii="標楷體" w:eastAsia="標楷體" w:hAnsi="標楷體" w:hint="eastAsia"/>
          <w:bCs/>
          <w:sz w:val="28"/>
          <w:szCs w:val="28"/>
        </w:rPr>
        <w:t>由風口進入高爐作富氧噴吹。</w:t>
      </w:r>
    </w:p>
    <w:p w:rsidR="005221E2" w:rsidRPr="00BD7043" w:rsidRDefault="00FD372C" w:rsidP="00F42C6B">
      <w:pPr>
        <w:pStyle w:val="af0"/>
        <w:adjustRightInd w:val="0"/>
        <w:snapToGrid w:val="0"/>
        <w:spacing w:line="400" w:lineRule="exact"/>
        <w:ind w:leftChars="230" w:left="1418" w:hangingChars="309" w:hanging="866"/>
        <w:rPr>
          <w:rFonts w:ascii="標楷體" w:eastAsia="標楷體" w:hAnsi="標楷體"/>
          <w:b/>
          <w:bCs/>
          <w:sz w:val="28"/>
          <w:szCs w:val="28"/>
        </w:rPr>
      </w:pPr>
      <w:r w:rsidRPr="000F3269">
        <w:rPr>
          <w:rFonts w:ascii="標楷體" w:eastAsia="標楷體" w:hAnsi="標楷體" w:hint="eastAsia"/>
          <w:b/>
          <w:bCs/>
          <w:sz w:val="28"/>
          <w:szCs w:val="28"/>
        </w:rPr>
        <w:t>效益：</w:t>
      </w:r>
      <w:r w:rsidR="00BD7043">
        <w:rPr>
          <w:rFonts w:ascii="標楷體" w:eastAsia="標楷體" w:hAnsi="標楷體" w:hint="eastAsia"/>
          <w:b/>
          <w:bCs/>
          <w:sz w:val="28"/>
          <w:szCs w:val="28"/>
        </w:rPr>
        <w:t>本案因透過爐身噴吹CO，故同樣涉及爐體改造，</w:t>
      </w:r>
      <w:r w:rsidRPr="00BD7043">
        <w:rPr>
          <w:rFonts w:ascii="標楷體" w:eastAsia="標楷體" w:hAnsi="標楷體" w:hint="eastAsia"/>
          <w:bCs/>
          <w:sz w:val="28"/>
          <w:szCs w:val="28"/>
        </w:rPr>
        <w:t>通過將高爐煤氣中的</w:t>
      </w:r>
      <w:r w:rsidRPr="00BD7043">
        <w:rPr>
          <w:rFonts w:ascii="標楷體" w:eastAsia="標楷體" w:hAnsi="標楷體"/>
          <w:bCs/>
          <w:sz w:val="28"/>
          <w:szCs w:val="28"/>
        </w:rPr>
        <w:t>CO</w:t>
      </w:r>
      <w:r w:rsidRPr="00BD7043">
        <w:rPr>
          <w:rFonts w:ascii="標楷體" w:eastAsia="標楷體" w:hAnsi="標楷體"/>
          <w:bCs/>
          <w:sz w:val="28"/>
          <w:szCs w:val="28"/>
          <w:vertAlign w:val="subscript"/>
        </w:rPr>
        <w:t>2</w:t>
      </w:r>
      <w:r w:rsidRPr="00BD7043">
        <w:rPr>
          <w:rFonts w:ascii="標楷體" w:eastAsia="標楷體" w:hAnsi="標楷體" w:hint="eastAsia"/>
          <w:bCs/>
          <w:sz w:val="28"/>
          <w:szCs w:val="28"/>
        </w:rPr>
        <w:t>電解產生</w:t>
      </w:r>
      <w:r w:rsidRPr="00BD7043">
        <w:rPr>
          <w:rFonts w:ascii="標楷體" w:eastAsia="標楷體" w:hAnsi="標楷體"/>
          <w:bCs/>
          <w:sz w:val="28"/>
          <w:szCs w:val="28"/>
        </w:rPr>
        <w:t>CO</w:t>
      </w:r>
      <w:r w:rsidRPr="00BD7043">
        <w:rPr>
          <w:rFonts w:ascii="標楷體" w:eastAsia="標楷體" w:hAnsi="標楷體" w:hint="eastAsia"/>
          <w:bCs/>
          <w:sz w:val="28"/>
          <w:szCs w:val="28"/>
        </w:rPr>
        <w:t>和</w:t>
      </w:r>
      <w:r w:rsidRPr="00BD7043">
        <w:rPr>
          <w:rFonts w:ascii="標楷體" w:eastAsia="標楷體" w:hAnsi="標楷體"/>
          <w:bCs/>
          <w:sz w:val="28"/>
          <w:szCs w:val="28"/>
        </w:rPr>
        <w:t>O</w:t>
      </w:r>
      <w:r w:rsidRPr="00BD7043">
        <w:rPr>
          <w:rFonts w:ascii="標楷體" w:eastAsia="標楷體" w:hAnsi="標楷體"/>
          <w:bCs/>
          <w:sz w:val="28"/>
          <w:szCs w:val="28"/>
          <w:vertAlign w:val="subscript"/>
        </w:rPr>
        <w:t>2</w:t>
      </w:r>
      <w:r w:rsidR="000F3269" w:rsidRPr="00BD7043">
        <w:rPr>
          <w:rFonts w:ascii="標楷體" w:eastAsia="標楷體" w:hAnsi="標楷體" w:hint="eastAsia"/>
          <w:bCs/>
          <w:sz w:val="28"/>
          <w:szCs w:val="28"/>
        </w:rPr>
        <w:t>，</w:t>
      </w:r>
      <w:r w:rsidRPr="00BD7043">
        <w:rPr>
          <w:rFonts w:ascii="標楷體" w:eastAsia="標楷體" w:hAnsi="標楷體" w:hint="eastAsia"/>
          <w:bCs/>
          <w:sz w:val="28"/>
          <w:szCs w:val="28"/>
        </w:rPr>
        <w:t>減少了</w:t>
      </w:r>
      <w:r w:rsidRPr="00BD7043">
        <w:rPr>
          <w:rFonts w:ascii="標楷體" w:eastAsia="標楷體" w:hAnsi="標楷體"/>
          <w:bCs/>
          <w:sz w:val="28"/>
          <w:szCs w:val="28"/>
        </w:rPr>
        <w:t>CO</w:t>
      </w:r>
      <w:r w:rsidRPr="00BD7043">
        <w:rPr>
          <w:rFonts w:ascii="標楷體" w:eastAsia="標楷體" w:hAnsi="標楷體"/>
          <w:bCs/>
          <w:sz w:val="28"/>
          <w:szCs w:val="28"/>
          <w:vertAlign w:val="subscript"/>
        </w:rPr>
        <w:t>2</w:t>
      </w:r>
      <w:r w:rsidRPr="00BD7043">
        <w:rPr>
          <w:rFonts w:ascii="標楷體" w:eastAsia="標楷體" w:hAnsi="標楷體" w:hint="eastAsia"/>
          <w:bCs/>
          <w:sz w:val="28"/>
          <w:szCs w:val="28"/>
        </w:rPr>
        <w:t>的直接排放。產生額外的</w:t>
      </w:r>
      <w:r w:rsidRPr="00BD7043">
        <w:rPr>
          <w:rFonts w:ascii="標楷體" w:eastAsia="標楷體" w:hAnsi="標楷體"/>
          <w:bCs/>
          <w:sz w:val="28"/>
          <w:szCs w:val="28"/>
        </w:rPr>
        <w:t>O</w:t>
      </w:r>
      <w:r w:rsidRPr="00BD7043">
        <w:rPr>
          <w:rFonts w:ascii="標楷體" w:eastAsia="標楷體" w:hAnsi="標楷體"/>
          <w:bCs/>
          <w:sz w:val="28"/>
          <w:szCs w:val="28"/>
          <w:vertAlign w:val="subscript"/>
        </w:rPr>
        <w:t>2</w:t>
      </w:r>
      <w:r w:rsidRPr="00BD7043">
        <w:rPr>
          <w:rFonts w:ascii="標楷體" w:eastAsia="標楷體" w:hAnsi="標楷體" w:hint="eastAsia"/>
          <w:bCs/>
          <w:sz w:val="28"/>
          <w:szCs w:val="28"/>
        </w:rPr>
        <w:t>用於高爐富氧噴吹，可以提高高爐的冶煉效率。</w:t>
      </w:r>
    </w:p>
    <w:p w:rsidR="00D20B97" w:rsidRPr="00F42C6B" w:rsidRDefault="000A1C2E" w:rsidP="00F42C6B">
      <w:pPr>
        <w:adjustRightInd w:val="0"/>
        <w:snapToGrid w:val="0"/>
        <w:spacing w:beforeLines="50" w:before="180" w:line="400" w:lineRule="exact"/>
        <w:jc w:val="both"/>
        <w:rPr>
          <w:rFonts w:ascii="標楷體" w:eastAsia="標楷體" w:hAnsi="標楷體"/>
          <w:b/>
          <w:color w:val="0000CC"/>
          <w:sz w:val="28"/>
          <w:szCs w:val="28"/>
        </w:rPr>
      </w:pPr>
      <w:r>
        <w:rPr>
          <w:rFonts w:ascii="標楷體" w:eastAsia="標楷體" w:hAnsi="標楷體" w:hint="eastAsia"/>
          <w:b/>
          <w:color w:val="0000CC"/>
          <w:sz w:val="28"/>
          <w:szCs w:val="28"/>
        </w:rPr>
        <w:t>三、</w:t>
      </w:r>
      <w:r w:rsidR="00734EAB" w:rsidRPr="00F42C6B">
        <w:rPr>
          <w:rFonts w:ascii="標楷體" w:eastAsia="標楷體" w:hAnsi="標楷體" w:hint="eastAsia"/>
          <w:b/>
          <w:color w:val="0000CC"/>
          <w:sz w:val="28"/>
          <w:szCs w:val="28"/>
        </w:rPr>
        <w:t>結</w:t>
      </w:r>
      <w:r>
        <w:rPr>
          <w:rFonts w:ascii="標楷體" w:eastAsia="標楷體" w:hAnsi="標楷體" w:hint="eastAsia"/>
          <w:b/>
          <w:color w:val="0000CC"/>
          <w:sz w:val="28"/>
          <w:szCs w:val="28"/>
        </w:rPr>
        <w:t>語</w:t>
      </w:r>
    </w:p>
    <w:p w:rsidR="00734EAB" w:rsidRPr="00E12B59" w:rsidRDefault="00E12B59" w:rsidP="00E12B59">
      <w:pPr>
        <w:pStyle w:val="af0"/>
        <w:numPr>
          <w:ilvl w:val="0"/>
          <w:numId w:val="12"/>
        </w:numPr>
        <w:adjustRightInd w:val="0"/>
        <w:snapToGrid w:val="0"/>
        <w:spacing w:beforeLines="50" w:before="180"/>
        <w:ind w:leftChars="0" w:left="567"/>
        <w:jc w:val="both"/>
        <w:rPr>
          <w:rFonts w:ascii="標楷體" w:eastAsia="標楷體" w:hAnsi="標楷體"/>
          <w:b/>
          <w:bCs/>
          <w:sz w:val="28"/>
          <w:szCs w:val="28"/>
        </w:rPr>
      </w:pPr>
      <w:r w:rsidRPr="00E12B59">
        <w:rPr>
          <w:rFonts w:ascii="標楷體" w:eastAsia="標楷體" w:hAnsi="標楷體" w:hint="eastAsia"/>
          <w:bCs/>
          <w:sz w:val="28"/>
          <w:szCs w:val="28"/>
        </w:rPr>
        <w:t>綜合前述CO</w:t>
      </w:r>
      <w:r w:rsidRPr="00E12B59">
        <w:rPr>
          <w:rFonts w:ascii="標楷體" w:eastAsia="標楷體" w:hAnsi="標楷體"/>
          <w:bCs/>
          <w:sz w:val="28"/>
          <w:szCs w:val="28"/>
          <w:vertAlign w:val="subscript"/>
        </w:rPr>
        <w:t>2</w:t>
      </w:r>
      <w:r w:rsidRPr="00E12B59">
        <w:rPr>
          <w:rFonts w:ascii="標楷體" w:eastAsia="標楷體" w:hAnsi="標楷體" w:hint="eastAsia"/>
          <w:bCs/>
          <w:sz w:val="28"/>
          <w:szCs w:val="28"/>
        </w:rPr>
        <w:t>排放趨勢未減緩與近期專利技術持續產出情形，相關低碳製程是否已達大規模「技術可行、成本可行」階段，仍有待商榷。</w:t>
      </w:r>
    </w:p>
    <w:p w:rsidR="00734EAB" w:rsidRPr="00C323EB" w:rsidRDefault="00734EAB" w:rsidP="00F42C6B">
      <w:pPr>
        <w:pStyle w:val="af0"/>
        <w:numPr>
          <w:ilvl w:val="0"/>
          <w:numId w:val="12"/>
        </w:numPr>
        <w:adjustRightInd w:val="0"/>
        <w:snapToGrid w:val="0"/>
        <w:spacing w:beforeLines="50" w:before="180"/>
        <w:ind w:leftChars="0" w:left="567"/>
        <w:jc w:val="both"/>
        <w:rPr>
          <w:rFonts w:ascii="標楷體" w:eastAsia="標楷體" w:hAnsi="標楷體"/>
          <w:bCs/>
          <w:sz w:val="28"/>
          <w:szCs w:val="28"/>
        </w:rPr>
      </w:pPr>
      <w:r w:rsidRPr="00C323EB">
        <w:rPr>
          <w:rFonts w:ascii="標楷體" w:eastAsia="標楷體" w:hAnsi="標楷體" w:hint="eastAsia"/>
          <w:bCs/>
          <w:sz w:val="28"/>
          <w:szCs w:val="28"/>
        </w:rPr>
        <w:t>另一方面，</w:t>
      </w:r>
      <w:r w:rsidR="000705CE" w:rsidRPr="00C323EB">
        <w:rPr>
          <w:rFonts w:ascii="標楷體" w:eastAsia="標楷體" w:hAnsi="標楷體" w:hint="eastAsia"/>
          <w:bCs/>
          <w:sz w:val="28"/>
          <w:szCs w:val="28"/>
        </w:rPr>
        <w:t>目前</w:t>
      </w:r>
      <w:r w:rsidRPr="00C323EB">
        <w:rPr>
          <w:rFonts w:ascii="標楷體" w:eastAsia="標楷體" w:hAnsi="標楷體" w:hint="eastAsia"/>
          <w:bCs/>
          <w:sz w:val="28"/>
          <w:szCs w:val="28"/>
        </w:rPr>
        <w:t>先進鋼廠專利申請動態，未見因技術或成本因素而減緩低碳煉鐵</w:t>
      </w:r>
      <w:r w:rsidRPr="00C323EB">
        <w:rPr>
          <w:rFonts w:ascii="標楷體" w:eastAsia="標楷體" w:hAnsi="標楷體"/>
          <w:bCs/>
          <w:sz w:val="28"/>
          <w:szCs w:val="28"/>
        </w:rPr>
        <w:t>/煉鋼製程開發</w:t>
      </w:r>
      <w:r w:rsidR="00D636C6" w:rsidRPr="00C323EB">
        <w:rPr>
          <w:rFonts w:ascii="標楷體" w:eastAsia="標楷體" w:hAnsi="標楷體" w:hint="eastAsia"/>
          <w:bCs/>
          <w:sz w:val="28"/>
          <w:szCs w:val="28"/>
        </w:rPr>
        <w:t>，仍有許多新技術不斷發表</w:t>
      </w:r>
      <w:r w:rsidRPr="00C323EB">
        <w:rPr>
          <w:rFonts w:ascii="標楷體" w:eastAsia="標楷體" w:hAnsi="標楷體" w:hint="eastAsia"/>
          <w:bCs/>
          <w:sz w:val="28"/>
          <w:szCs w:val="28"/>
        </w:rPr>
        <w:t>，</w:t>
      </w:r>
      <w:r w:rsidR="00D636C6" w:rsidRPr="00C323EB">
        <w:rPr>
          <w:rFonts w:ascii="標楷體" w:eastAsia="標楷體" w:hAnsi="標楷體" w:hint="eastAsia"/>
          <w:bCs/>
          <w:sz w:val="28"/>
          <w:szCs w:val="28"/>
        </w:rPr>
        <w:t>顯見</w:t>
      </w:r>
      <w:r w:rsidRPr="00C323EB">
        <w:rPr>
          <w:rFonts w:ascii="標楷體" w:eastAsia="標楷體" w:hAnsi="標楷體" w:hint="eastAsia"/>
          <w:bCs/>
          <w:sz w:val="28"/>
          <w:szCs w:val="28"/>
        </w:rPr>
        <w:t>鋼鐵業的減排與淨零仍是刻不容緩的議題。</w:t>
      </w:r>
    </w:p>
    <w:p w:rsidR="00D20B97" w:rsidRDefault="00D20B97" w:rsidP="00D20B97">
      <w:pPr>
        <w:pStyle w:val="af0"/>
        <w:adjustRightInd w:val="0"/>
        <w:snapToGrid w:val="0"/>
        <w:spacing w:beforeLines="50" w:before="180"/>
        <w:ind w:leftChars="0" w:left="0"/>
        <w:jc w:val="both"/>
        <w:rPr>
          <w:rFonts w:ascii="標楷體" w:eastAsia="標楷體" w:hAnsi="標楷體"/>
          <w:b/>
          <w:bCs/>
          <w:sz w:val="28"/>
          <w:szCs w:val="28"/>
        </w:rPr>
      </w:pPr>
    </w:p>
    <w:sectPr w:rsidR="00D20B97" w:rsidSect="00D20B97">
      <w:footerReference w:type="default" r:id="rId9"/>
      <w:pgSz w:w="11906" w:h="16838"/>
      <w:pgMar w:top="851" w:right="849" w:bottom="993" w:left="851" w:header="568" w:footer="12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20B" w:rsidRDefault="00F2120B" w:rsidP="00072406">
      <w:r>
        <w:separator/>
      </w:r>
    </w:p>
  </w:endnote>
  <w:endnote w:type="continuationSeparator" w:id="0">
    <w:p w:rsidR="00F2120B" w:rsidRDefault="00F2120B" w:rsidP="0007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503938"/>
      <w:docPartObj>
        <w:docPartGallery w:val="Page Numbers (Bottom of Page)"/>
        <w:docPartUnique/>
      </w:docPartObj>
    </w:sdtPr>
    <w:sdtEndPr>
      <w:rPr>
        <w:rFonts w:ascii="標楷體" w:eastAsia="標楷體" w:hAnsi="標楷體"/>
        <w:sz w:val="24"/>
        <w:szCs w:val="24"/>
      </w:rPr>
    </w:sdtEndPr>
    <w:sdtContent>
      <w:sdt>
        <w:sdtPr>
          <w:id w:val="1728636285"/>
          <w:docPartObj>
            <w:docPartGallery w:val="Page Numbers (Top of Page)"/>
            <w:docPartUnique/>
          </w:docPartObj>
        </w:sdtPr>
        <w:sdtEndPr>
          <w:rPr>
            <w:rFonts w:ascii="標楷體" w:eastAsia="標楷體" w:hAnsi="標楷體"/>
            <w:sz w:val="24"/>
            <w:szCs w:val="24"/>
          </w:rPr>
        </w:sdtEndPr>
        <w:sdtContent>
          <w:p w:rsidR="00184723" w:rsidRPr="00184723" w:rsidRDefault="00184723">
            <w:pPr>
              <w:pStyle w:val="ae"/>
              <w:jc w:val="center"/>
              <w:rPr>
                <w:rFonts w:ascii="標楷體" w:eastAsia="標楷體" w:hAnsi="標楷體"/>
                <w:sz w:val="24"/>
                <w:szCs w:val="24"/>
              </w:rPr>
            </w:pPr>
            <w:r w:rsidRPr="00184723">
              <w:rPr>
                <w:rFonts w:ascii="標楷體" w:eastAsia="標楷體" w:hAnsi="標楷體" w:hint="eastAsia"/>
                <w:sz w:val="24"/>
                <w:szCs w:val="24"/>
              </w:rPr>
              <w:t>第</w:t>
            </w:r>
            <w:r w:rsidRPr="00184723">
              <w:rPr>
                <w:rFonts w:ascii="標楷體" w:eastAsia="標楷體" w:hAnsi="標楷體"/>
                <w:sz w:val="24"/>
                <w:szCs w:val="24"/>
                <w:lang w:val="zh-TW"/>
              </w:rPr>
              <w:t xml:space="preserve"> </w:t>
            </w:r>
            <w:r w:rsidRPr="00184723">
              <w:rPr>
                <w:rFonts w:ascii="標楷體" w:eastAsia="標楷體" w:hAnsi="標楷體"/>
                <w:b/>
                <w:bCs/>
                <w:sz w:val="24"/>
                <w:szCs w:val="24"/>
              </w:rPr>
              <w:fldChar w:fldCharType="begin"/>
            </w:r>
            <w:r w:rsidRPr="00184723">
              <w:rPr>
                <w:rFonts w:ascii="標楷體" w:eastAsia="標楷體" w:hAnsi="標楷體"/>
                <w:b/>
                <w:bCs/>
                <w:sz w:val="24"/>
                <w:szCs w:val="24"/>
              </w:rPr>
              <w:instrText>PAGE</w:instrText>
            </w:r>
            <w:r w:rsidRPr="00184723">
              <w:rPr>
                <w:rFonts w:ascii="標楷體" w:eastAsia="標楷體" w:hAnsi="標楷體"/>
                <w:b/>
                <w:bCs/>
                <w:sz w:val="24"/>
                <w:szCs w:val="24"/>
              </w:rPr>
              <w:fldChar w:fldCharType="separate"/>
            </w:r>
            <w:r w:rsidR="00F2120B">
              <w:rPr>
                <w:rFonts w:ascii="標楷體" w:eastAsia="標楷體" w:hAnsi="標楷體"/>
                <w:b/>
                <w:bCs/>
                <w:noProof/>
                <w:sz w:val="24"/>
                <w:szCs w:val="24"/>
              </w:rPr>
              <w:t>1</w:t>
            </w:r>
            <w:r w:rsidRPr="00184723">
              <w:rPr>
                <w:rFonts w:ascii="標楷體" w:eastAsia="標楷體" w:hAnsi="標楷體"/>
                <w:b/>
                <w:bCs/>
                <w:sz w:val="24"/>
                <w:szCs w:val="24"/>
              </w:rPr>
              <w:fldChar w:fldCharType="end"/>
            </w:r>
            <w:r w:rsidRPr="00184723">
              <w:rPr>
                <w:rFonts w:ascii="標楷體" w:eastAsia="標楷體" w:hAnsi="標楷體" w:hint="eastAsia"/>
                <w:b/>
                <w:bCs/>
                <w:sz w:val="24"/>
                <w:szCs w:val="24"/>
              </w:rPr>
              <w:t>頁，共</w:t>
            </w:r>
            <w:r w:rsidRPr="00184723">
              <w:rPr>
                <w:rFonts w:ascii="標楷體" w:eastAsia="標楷體" w:hAnsi="標楷體"/>
                <w:sz w:val="24"/>
                <w:szCs w:val="24"/>
                <w:lang w:val="zh-TW"/>
              </w:rPr>
              <w:t xml:space="preserve"> </w:t>
            </w:r>
            <w:r w:rsidRPr="00184723">
              <w:rPr>
                <w:rFonts w:ascii="標楷體" w:eastAsia="標楷體" w:hAnsi="標楷體"/>
                <w:b/>
                <w:bCs/>
                <w:sz w:val="24"/>
                <w:szCs w:val="24"/>
              </w:rPr>
              <w:fldChar w:fldCharType="begin"/>
            </w:r>
            <w:r w:rsidRPr="00184723">
              <w:rPr>
                <w:rFonts w:ascii="標楷體" w:eastAsia="標楷體" w:hAnsi="標楷體"/>
                <w:b/>
                <w:bCs/>
                <w:sz w:val="24"/>
                <w:szCs w:val="24"/>
              </w:rPr>
              <w:instrText>NUMPAGES</w:instrText>
            </w:r>
            <w:r w:rsidRPr="00184723">
              <w:rPr>
                <w:rFonts w:ascii="標楷體" w:eastAsia="標楷體" w:hAnsi="標楷體"/>
                <w:b/>
                <w:bCs/>
                <w:sz w:val="24"/>
                <w:szCs w:val="24"/>
              </w:rPr>
              <w:fldChar w:fldCharType="separate"/>
            </w:r>
            <w:r w:rsidR="00F2120B">
              <w:rPr>
                <w:rFonts w:ascii="標楷體" w:eastAsia="標楷體" w:hAnsi="標楷體"/>
                <w:b/>
                <w:bCs/>
                <w:noProof/>
                <w:sz w:val="24"/>
                <w:szCs w:val="24"/>
              </w:rPr>
              <w:t>1</w:t>
            </w:r>
            <w:r w:rsidRPr="00184723">
              <w:rPr>
                <w:rFonts w:ascii="標楷體" w:eastAsia="標楷體" w:hAnsi="標楷體"/>
                <w:b/>
                <w:bCs/>
                <w:sz w:val="24"/>
                <w:szCs w:val="24"/>
              </w:rPr>
              <w:fldChar w:fldCharType="end"/>
            </w:r>
            <w:r w:rsidRPr="00184723">
              <w:rPr>
                <w:rFonts w:ascii="標楷體" w:eastAsia="標楷體" w:hAnsi="標楷體" w:hint="eastAsia"/>
                <w:b/>
                <w:bCs/>
                <w:sz w:val="24"/>
                <w:szCs w:val="24"/>
              </w:rPr>
              <w:t>頁</w:t>
            </w:r>
          </w:p>
        </w:sdtContent>
      </w:sdt>
    </w:sdtContent>
  </w:sdt>
  <w:p w:rsidR="00184723" w:rsidRDefault="0018472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20B" w:rsidRDefault="00F2120B" w:rsidP="00072406">
      <w:r>
        <w:separator/>
      </w:r>
    </w:p>
  </w:footnote>
  <w:footnote w:type="continuationSeparator" w:id="0">
    <w:p w:rsidR="00F2120B" w:rsidRDefault="00F2120B" w:rsidP="00072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7268"/>
    <w:multiLevelType w:val="hybridMultilevel"/>
    <w:tmpl w:val="C1542BF4"/>
    <w:lvl w:ilvl="0" w:tplc="88968DCA">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FE26F6"/>
    <w:multiLevelType w:val="hybridMultilevel"/>
    <w:tmpl w:val="21D685E4"/>
    <w:lvl w:ilvl="0" w:tplc="02AAAB9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18222F"/>
    <w:multiLevelType w:val="hybridMultilevel"/>
    <w:tmpl w:val="56905BEA"/>
    <w:lvl w:ilvl="0" w:tplc="9552F76A">
      <w:start w:val="1"/>
      <w:numFmt w:val="decimal"/>
      <w:lvlText w:val="%1."/>
      <w:lvlJc w:val="left"/>
      <w:pPr>
        <w:ind w:left="360" w:hanging="360"/>
      </w:pPr>
      <w:rPr>
        <w:rFonts w:hint="default"/>
        <w:color w:val="0000CC"/>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9E2CBC"/>
    <w:multiLevelType w:val="hybridMultilevel"/>
    <w:tmpl w:val="D41E2604"/>
    <w:lvl w:ilvl="0" w:tplc="B4C68B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E154B7"/>
    <w:multiLevelType w:val="hybridMultilevel"/>
    <w:tmpl w:val="58A04CE2"/>
    <w:lvl w:ilvl="0" w:tplc="202CA0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63034A"/>
    <w:multiLevelType w:val="hybridMultilevel"/>
    <w:tmpl w:val="10B41A6C"/>
    <w:lvl w:ilvl="0" w:tplc="1DD4A34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A812F72"/>
    <w:multiLevelType w:val="hybridMultilevel"/>
    <w:tmpl w:val="56A0B93A"/>
    <w:lvl w:ilvl="0" w:tplc="69B23C9C">
      <w:start w:val="1"/>
      <w:numFmt w:val="decimal"/>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786E99"/>
    <w:multiLevelType w:val="hybridMultilevel"/>
    <w:tmpl w:val="DC3C904C"/>
    <w:lvl w:ilvl="0" w:tplc="9CA4AEC8">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0D855A7"/>
    <w:multiLevelType w:val="hybridMultilevel"/>
    <w:tmpl w:val="7A187F80"/>
    <w:lvl w:ilvl="0" w:tplc="EA5C6D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B634D5"/>
    <w:multiLevelType w:val="hybridMultilevel"/>
    <w:tmpl w:val="8222C522"/>
    <w:lvl w:ilvl="0" w:tplc="6E2057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7C108D"/>
    <w:multiLevelType w:val="hybridMultilevel"/>
    <w:tmpl w:val="A364D10A"/>
    <w:lvl w:ilvl="0" w:tplc="80F472B8">
      <w:start w:val="1"/>
      <w:numFmt w:val="taiwaneseCountingThousand"/>
      <w:lvlText w:val="%1、"/>
      <w:lvlJc w:val="left"/>
      <w:pPr>
        <w:ind w:left="720" w:hanging="720"/>
      </w:pPr>
      <w:rPr>
        <w:rFonts w:hint="default"/>
      </w:rPr>
    </w:lvl>
    <w:lvl w:ilvl="1" w:tplc="0BBC991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753A40"/>
    <w:multiLevelType w:val="hybridMultilevel"/>
    <w:tmpl w:val="714843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num>
  <w:num w:numId="6">
    <w:abstractNumId w:val="9"/>
  </w:num>
  <w:num w:numId="7">
    <w:abstractNumId w:val="8"/>
  </w:num>
  <w:num w:numId="8">
    <w:abstractNumId w:val="10"/>
  </w:num>
  <w:num w:numId="9">
    <w:abstractNumId w:val="2"/>
  </w:num>
  <w:num w:numId="10">
    <w:abstractNumId w:val="4"/>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12"/>
    <w:rsid w:val="000035B4"/>
    <w:rsid w:val="00004CD9"/>
    <w:rsid w:val="00006CBF"/>
    <w:rsid w:val="00007314"/>
    <w:rsid w:val="00012F52"/>
    <w:rsid w:val="00014521"/>
    <w:rsid w:val="00055B6B"/>
    <w:rsid w:val="000560A9"/>
    <w:rsid w:val="00061FDA"/>
    <w:rsid w:val="00066746"/>
    <w:rsid w:val="000705CE"/>
    <w:rsid w:val="00072406"/>
    <w:rsid w:val="00077F34"/>
    <w:rsid w:val="00092DEC"/>
    <w:rsid w:val="00095819"/>
    <w:rsid w:val="000A1C2E"/>
    <w:rsid w:val="000A62EE"/>
    <w:rsid w:val="000A6F00"/>
    <w:rsid w:val="000B3FFB"/>
    <w:rsid w:val="000C1094"/>
    <w:rsid w:val="000C12F5"/>
    <w:rsid w:val="000D2C2D"/>
    <w:rsid w:val="000F3269"/>
    <w:rsid w:val="00101208"/>
    <w:rsid w:val="00101C98"/>
    <w:rsid w:val="00106534"/>
    <w:rsid w:val="001079B5"/>
    <w:rsid w:val="0011135F"/>
    <w:rsid w:val="00113D18"/>
    <w:rsid w:val="001165D2"/>
    <w:rsid w:val="0012260B"/>
    <w:rsid w:val="00123349"/>
    <w:rsid w:val="00131FF2"/>
    <w:rsid w:val="0013456A"/>
    <w:rsid w:val="00136A66"/>
    <w:rsid w:val="00151AFB"/>
    <w:rsid w:val="00152D0A"/>
    <w:rsid w:val="001654DE"/>
    <w:rsid w:val="00171B3A"/>
    <w:rsid w:val="0017441B"/>
    <w:rsid w:val="001811BA"/>
    <w:rsid w:val="00181564"/>
    <w:rsid w:val="00181D95"/>
    <w:rsid w:val="00184723"/>
    <w:rsid w:val="001902D9"/>
    <w:rsid w:val="00196BFB"/>
    <w:rsid w:val="001A546D"/>
    <w:rsid w:val="001A7E6B"/>
    <w:rsid w:val="001B7E25"/>
    <w:rsid w:val="001C4BD0"/>
    <w:rsid w:val="001C5DDE"/>
    <w:rsid w:val="001D2C8E"/>
    <w:rsid w:val="001D556E"/>
    <w:rsid w:val="001F080D"/>
    <w:rsid w:val="001F10ED"/>
    <w:rsid w:val="001F7C65"/>
    <w:rsid w:val="002017E7"/>
    <w:rsid w:val="00216E51"/>
    <w:rsid w:val="00220DBF"/>
    <w:rsid w:val="00226765"/>
    <w:rsid w:val="00230940"/>
    <w:rsid w:val="002338C2"/>
    <w:rsid w:val="00235A01"/>
    <w:rsid w:val="0024540D"/>
    <w:rsid w:val="0024728F"/>
    <w:rsid w:val="002514C0"/>
    <w:rsid w:val="002533C3"/>
    <w:rsid w:val="00257125"/>
    <w:rsid w:val="0026062E"/>
    <w:rsid w:val="0026736E"/>
    <w:rsid w:val="002675D8"/>
    <w:rsid w:val="00272530"/>
    <w:rsid w:val="00273590"/>
    <w:rsid w:val="002752F7"/>
    <w:rsid w:val="00276321"/>
    <w:rsid w:val="002774E5"/>
    <w:rsid w:val="002812FA"/>
    <w:rsid w:val="00291512"/>
    <w:rsid w:val="002A3BC3"/>
    <w:rsid w:val="002A78B5"/>
    <w:rsid w:val="002D6279"/>
    <w:rsid w:val="002F5076"/>
    <w:rsid w:val="00312A93"/>
    <w:rsid w:val="00321DCB"/>
    <w:rsid w:val="003228B5"/>
    <w:rsid w:val="0033324E"/>
    <w:rsid w:val="00334E9D"/>
    <w:rsid w:val="0034687C"/>
    <w:rsid w:val="00354683"/>
    <w:rsid w:val="00362033"/>
    <w:rsid w:val="00375C86"/>
    <w:rsid w:val="003A1D63"/>
    <w:rsid w:val="003A351B"/>
    <w:rsid w:val="003A6E7E"/>
    <w:rsid w:val="003A706E"/>
    <w:rsid w:val="003B6236"/>
    <w:rsid w:val="003C5C40"/>
    <w:rsid w:val="003C5C5A"/>
    <w:rsid w:val="003D0812"/>
    <w:rsid w:val="003E035C"/>
    <w:rsid w:val="003E09E3"/>
    <w:rsid w:val="003E716C"/>
    <w:rsid w:val="003E7BCD"/>
    <w:rsid w:val="003F3495"/>
    <w:rsid w:val="003F3F38"/>
    <w:rsid w:val="003F5EE5"/>
    <w:rsid w:val="003F72BB"/>
    <w:rsid w:val="00402789"/>
    <w:rsid w:val="00407E9B"/>
    <w:rsid w:val="00410990"/>
    <w:rsid w:val="00410ED3"/>
    <w:rsid w:val="004159D5"/>
    <w:rsid w:val="00415E58"/>
    <w:rsid w:val="004244EB"/>
    <w:rsid w:val="0042542C"/>
    <w:rsid w:val="00430409"/>
    <w:rsid w:val="00441B03"/>
    <w:rsid w:val="004503AF"/>
    <w:rsid w:val="00455D06"/>
    <w:rsid w:val="004833EE"/>
    <w:rsid w:val="00491712"/>
    <w:rsid w:val="004A10D4"/>
    <w:rsid w:val="004A31B2"/>
    <w:rsid w:val="004A68BB"/>
    <w:rsid w:val="004A6D15"/>
    <w:rsid w:val="004B7E5E"/>
    <w:rsid w:val="004D095F"/>
    <w:rsid w:val="004D2D52"/>
    <w:rsid w:val="004D6300"/>
    <w:rsid w:val="004D6915"/>
    <w:rsid w:val="004E2082"/>
    <w:rsid w:val="004E51D7"/>
    <w:rsid w:val="004E7810"/>
    <w:rsid w:val="004F529D"/>
    <w:rsid w:val="004F6BBE"/>
    <w:rsid w:val="004F7E5F"/>
    <w:rsid w:val="005034AA"/>
    <w:rsid w:val="0050526D"/>
    <w:rsid w:val="00505B1F"/>
    <w:rsid w:val="005221E2"/>
    <w:rsid w:val="005254B5"/>
    <w:rsid w:val="005313D2"/>
    <w:rsid w:val="005401DC"/>
    <w:rsid w:val="00543C40"/>
    <w:rsid w:val="0054590C"/>
    <w:rsid w:val="00575E6F"/>
    <w:rsid w:val="00580A12"/>
    <w:rsid w:val="0059543C"/>
    <w:rsid w:val="005B5F9C"/>
    <w:rsid w:val="005E10BF"/>
    <w:rsid w:val="005E17CE"/>
    <w:rsid w:val="005E3689"/>
    <w:rsid w:val="005E5893"/>
    <w:rsid w:val="005E6799"/>
    <w:rsid w:val="005E68EC"/>
    <w:rsid w:val="005F19CF"/>
    <w:rsid w:val="005F4405"/>
    <w:rsid w:val="006018BC"/>
    <w:rsid w:val="0061232E"/>
    <w:rsid w:val="006126E4"/>
    <w:rsid w:val="00615BC2"/>
    <w:rsid w:val="00622404"/>
    <w:rsid w:val="00622FB3"/>
    <w:rsid w:val="0062772E"/>
    <w:rsid w:val="006401FA"/>
    <w:rsid w:val="00640E55"/>
    <w:rsid w:val="00646D9E"/>
    <w:rsid w:val="00653550"/>
    <w:rsid w:val="006566F1"/>
    <w:rsid w:val="00662097"/>
    <w:rsid w:val="00673420"/>
    <w:rsid w:val="006A3E1A"/>
    <w:rsid w:val="006B0A80"/>
    <w:rsid w:val="006C4351"/>
    <w:rsid w:val="006D24FF"/>
    <w:rsid w:val="006D25B4"/>
    <w:rsid w:val="006E0F43"/>
    <w:rsid w:val="006E2E02"/>
    <w:rsid w:val="006E6816"/>
    <w:rsid w:val="006E7B6E"/>
    <w:rsid w:val="006F187C"/>
    <w:rsid w:val="006F716D"/>
    <w:rsid w:val="007010B2"/>
    <w:rsid w:val="007037BC"/>
    <w:rsid w:val="007110A6"/>
    <w:rsid w:val="00720805"/>
    <w:rsid w:val="007209C1"/>
    <w:rsid w:val="00722F71"/>
    <w:rsid w:val="00734EAB"/>
    <w:rsid w:val="00737E14"/>
    <w:rsid w:val="00743FE8"/>
    <w:rsid w:val="00754D33"/>
    <w:rsid w:val="00760EBE"/>
    <w:rsid w:val="00783EF3"/>
    <w:rsid w:val="00791C81"/>
    <w:rsid w:val="007A08F2"/>
    <w:rsid w:val="007A5211"/>
    <w:rsid w:val="007C50FF"/>
    <w:rsid w:val="007D3FFB"/>
    <w:rsid w:val="007E16A1"/>
    <w:rsid w:val="007F5571"/>
    <w:rsid w:val="007F560F"/>
    <w:rsid w:val="008031D7"/>
    <w:rsid w:val="00810055"/>
    <w:rsid w:val="008266E6"/>
    <w:rsid w:val="00842340"/>
    <w:rsid w:val="00853BFB"/>
    <w:rsid w:val="0085405E"/>
    <w:rsid w:val="008641FB"/>
    <w:rsid w:val="00864A86"/>
    <w:rsid w:val="00873885"/>
    <w:rsid w:val="00877CE5"/>
    <w:rsid w:val="00880F7A"/>
    <w:rsid w:val="0088591B"/>
    <w:rsid w:val="00886635"/>
    <w:rsid w:val="00887351"/>
    <w:rsid w:val="00890E12"/>
    <w:rsid w:val="008921B2"/>
    <w:rsid w:val="008933C3"/>
    <w:rsid w:val="0089715D"/>
    <w:rsid w:val="008A1BFC"/>
    <w:rsid w:val="008A3239"/>
    <w:rsid w:val="008A79C1"/>
    <w:rsid w:val="008B01EF"/>
    <w:rsid w:val="008B7260"/>
    <w:rsid w:val="008C64BC"/>
    <w:rsid w:val="008C6B78"/>
    <w:rsid w:val="008F642A"/>
    <w:rsid w:val="0090228E"/>
    <w:rsid w:val="00904D7E"/>
    <w:rsid w:val="0090636C"/>
    <w:rsid w:val="00912F9F"/>
    <w:rsid w:val="00916373"/>
    <w:rsid w:val="009176D0"/>
    <w:rsid w:val="00920F6F"/>
    <w:rsid w:val="009253E7"/>
    <w:rsid w:val="00934B11"/>
    <w:rsid w:val="0093754C"/>
    <w:rsid w:val="009528D4"/>
    <w:rsid w:val="00960C30"/>
    <w:rsid w:val="00963CE2"/>
    <w:rsid w:val="00970CBC"/>
    <w:rsid w:val="00986BDB"/>
    <w:rsid w:val="00992F00"/>
    <w:rsid w:val="00995AB0"/>
    <w:rsid w:val="009A242B"/>
    <w:rsid w:val="009B0D36"/>
    <w:rsid w:val="009B2C17"/>
    <w:rsid w:val="009B4174"/>
    <w:rsid w:val="009C069C"/>
    <w:rsid w:val="009C2079"/>
    <w:rsid w:val="009C25CA"/>
    <w:rsid w:val="009D0C5B"/>
    <w:rsid w:val="009D2EA0"/>
    <w:rsid w:val="009D5305"/>
    <w:rsid w:val="009E65C6"/>
    <w:rsid w:val="009F0492"/>
    <w:rsid w:val="009F053B"/>
    <w:rsid w:val="009F0B98"/>
    <w:rsid w:val="009F39FE"/>
    <w:rsid w:val="00A1165E"/>
    <w:rsid w:val="00A13BCE"/>
    <w:rsid w:val="00A15A0F"/>
    <w:rsid w:val="00A17AF0"/>
    <w:rsid w:val="00A211E3"/>
    <w:rsid w:val="00A24477"/>
    <w:rsid w:val="00A26D50"/>
    <w:rsid w:val="00A41AC1"/>
    <w:rsid w:val="00A47413"/>
    <w:rsid w:val="00A477F3"/>
    <w:rsid w:val="00A53420"/>
    <w:rsid w:val="00A56A98"/>
    <w:rsid w:val="00A575BF"/>
    <w:rsid w:val="00A5785C"/>
    <w:rsid w:val="00A601E7"/>
    <w:rsid w:val="00A6205E"/>
    <w:rsid w:val="00A74A34"/>
    <w:rsid w:val="00A81002"/>
    <w:rsid w:val="00A8300E"/>
    <w:rsid w:val="00A85A9C"/>
    <w:rsid w:val="00A86007"/>
    <w:rsid w:val="00A90367"/>
    <w:rsid w:val="00A91716"/>
    <w:rsid w:val="00AB2598"/>
    <w:rsid w:val="00AB47E5"/>
    <w:rsid w:val="00AC59E7"/>
    <w:rsid w:val="00AC7CB5"/>
    <w:rsid w:val="00AD6F28"/>
    <w:rsid w:val="00AE2AB2"/>
    <w:rsid w:val="00AE3F57"/>
    <w:rsid w:val="00B04C12"/>
    <w:rsid w:val="00B2440D"/>
    <w:rsid w:val="00B26AE0"/>
    <w:rsid w:val="00B27CD4"/>
    <w:rsid w:val="00B31DB7"/>
    <w:rsid w:val="00B45827"/>
    <w:rsid w:val="00B46519"/>
    <w:rsid w:val="00B562FC"/>
    <w:rsid w:val="00B5634F"/>
    <w:rsid w:val="00B6317B"/>
    <w:rsid w:val="00B678CA"/>
    <w:rsid w:val="00B7024B"/>
    <w:rsid w:val="00B702A8"/>
    <w:rsid w:val="00B7251E"/>
    <w:rsid w:val="00B745C3"/>
    <w:rsid w:val="00B81B3F"/>
    <w:rsid w:val="00BA157B"/>
    <w:rsid w:val="00BA715A"/>
    <w:rsid w:val="00BB3F20"/>
    <w:rsid w:val="00BB58B7"/>
    <w:rsid w:val="00BC2850"/>
    <w:rsid w:val="00BD1D43"/>
    <w:rsid w:val="00BD1ECB"/>
    <w:rsid w:val="00BD7043"/>
    <w:rsid w:val="00BF63F4"/>
    <w:rsid w:val="00C06494"/>
    <w:rsid w:val="00C15E51"/>
    <w:rsid w:val="00C2059C"/>
    <w:rsid w:val="00C2391C"/>
    <w:rsid w:val="00C24512"/>
    <w:rsid w:val="00C323EB"/>
    <w:rsid w:val="00C34249"/>
    <w:rsid w:val="00C458FF"/>
    <w:rsid w:val="00C5378B"/>
    <w:rsid w:val="00C55F28"/>
    <w:rsid w:val="00C56A61"/>
    <w:rsid w:val="00C63663"/>
    <w:rsid w:val="00C72700"/>
    <w:rsid w:val="00C93379"/>
    <w:rsid w:val="00C95D1D"/>
    <w:rsid w:val="00CA7963"/>
    <w:rsid w:val="00CC4B0E"/>
    <w:rsid w:val="00CE1F1C"/>
    <w:rsid w:val="00CF0AA5"/>
    <w:rsid w:val="00CF3560"/>
    <w:rsid w:val="00D00D5A"/>
    <w:rsid w:val="00D20B97"/>
    <w:rsid w:val="00D24CF2"/>
    <w:rsid w:val="00D255F5"/>
    <w:rsid w:val="00D42CF7"/>
    <w:rsid w:val="00D43DCA"/>
    <w:rsid w:val="00D546EF"/>
    <w:rsid w:val="00D56A09"/>
    <w:rsid w:val="00D636C6"/>
    <w:rsid w:val="00D67A92"/>
    <w:rsid w:val="00D713BA"/>
    <w:rsid w:val="00D731E1"/>
    <w:rsid w:val="00D751A7"/>
    <w:rsid w:val="00D80CA2"/>
    <w:rsid w:val="00D8415C"/>
    <w:rsid w:val="00D849A4"/>
    <w:rsid w:val="00D86384"/>
    <w:rsid w:val="00D86970"/>
    <w:rsid w:val="00D93F29"/>
    <w:rsid w:val="00DA7559"/>
    <w:rsid w:val="00DA7D12"/>
    <w:rsid w:val="00DB6B73"/>
    <w:rsid w:val="00DC03B9"/>
    <w:rsid w:val="00DD5F64"/>
    <w:rsid w:val="00DE56C3"/>
    <w:rsid w:val="00DE66B1"/>
    <w:rsid w:val="00DF53BA"/>
    <w:rsid w:val="00E00D48"/>
    <w:rsid w:val="00E10B86"/>
    <w:rsid w:val="00E1112E"/>
    <w:rsid w:val="00E12B59"/>
    <w:rsid w:val="00E219B9"/>
    <w:rsid w:val="00E24975"/>
    <w:rsid w:val="00E43F3A"/>
    <w:rsid w:val="00E440E8"/>
    <w:rsid w:val="00E463B8"/>
    <w:rsid w:val="00E47791"/>
    <w:rsid w:val="00E509BB"/>
    <w:rsid w:val="00E54ACF"/>
    <w:rsid w:val="00E57684"/>
    <w:rsid w:val="00E665FC"/>
    <w:rsid w:val="00E745CA"/>
    <w:rsid w:val="00E7709C"/>
    <w:rsid w:val="00EA1395"/>
    <w:rsid w:val="00EA4639"/>
    <w:rsid w:val="00EB26E4"/>
    <w:rsid w:val="00EE679B"/>
    <w:rsid w:val="00EE7059"/>
    <w:rsid w:val="00EF4EA7"/>
    <w:rsid w:val="00EF6B0F"/>
    <w:rsid w:val="00F12466"/>
    <w:rsid w:val="00F2120B"/>
    <w:rsid w:val="00F254F9"/>
    <w:rsid w:val="00F3253A"/>
    <w:rsid w:val="00F3365E"/>
    <w:rsid w:val="00F33FCE"/>
    <w:rsid w:val="00F42269"/>
    <w:rsid w:val="00F42C6B"/>
    <w:rsid w:val="00F46D97"/>
    <w:rsid w:val="00F56C80"/>
    <w:rsid w:val="00F717E1"/>
    <w:rsid w:val="00F85A4E"/>
    <w:rsid w:val="00FA0001"/>
    <w:rsid w:val="00FA0B74"/>
    <w:rsid w:val="00FA40B0"/>
    <w:rsid w:val="00FA6CD5"/>
    <w:rsid w:val="00FB657F"/>
    <w:rsid w:val="00FC6179"/>
    <w:rsid w:val="00FD1CEB"/>
    <w:rsid w:val="00FD372C"/>
    <w:rsid w:val="00FE152E"/>
    <w:rsid w:val="00FE25E9"/>
    <w:rsid w:val="00FE3D3B"/>
    <w:rsid w:val="00FF1BA5"/>
    <w:rsid w:val="00FF21DA"/>
    <w:rsid w:val="00FF2F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B186BB-A552-4DA7-A090-97AC4854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33C3"/>
    <w:pPr>
      <w:widowControl w:val="0"/>
    </w:pPr>
  </w:style>
  <w:style w:type="character" w:styleId="a4">
    <w:name w:val="annotation reference"/>
    <w:basedOn w:val="a0"/>
    <w:uiPriority w:val="99"/>
    <w:semiHidden/>
    <w:unhideWhenUsed/>
    <w:rsid w:val="00904D7E"/>
    <w:rPr>
      <w:sz w:val="18"/>
      <w:szCs w:val="18"/>
    </w:rPr>
  </w:style>
  <w:style w:type="paragraph" w:styleId="a5">
    <w:name w:val="annotation text"/>
    <w:basedOn w:val="a"/>
    <w:link w:val="a6"/>
    <w:uiPriority w:val="99"/>
    <w:semiHidden/>
    <w:unhideWhenUsed/>
    <w:rsid w:val="00904D7E"/>
  </w:style>
  <w:style w:type="character" w:customStyle="1" w:styleId="a6">
    <w:name w:val="註解文字 字元"/>
    <w:basedOn w:val="a0"/>
    <w:link w:val="a5"/>
    <w:uiPriority w:val="99"/>
    <w:semiHidden/>
    <w:rsid w:val="00904D7E"/>
  </w:style>
  <w:style w:type="paragraph" w:styleId="a7">
    <w:name w:val="annotation subject"/>
    <w:basedOn w:val="a5"/>
    <w:next w:val="a5"/>
    <w:link w:val="a8"/>
    <w:uiPriority w:val="99"/>
    <w:semiHidden/>
    <w:unhideWhenUsed/>
    <w:rsid w:val="00904D7E"/>
    <w:rPr>
      <w:b/>
      <w:bCs/>
    </w:rPr>
  </w:style>
  <w:style w:type="character" w:customStyle="1" w:styleId="a8">
    <w:name w:val="註解主旨 字元"/>
    <w:basedOn w:val="a6"/>
    <w:link w:val="a7"/>
    <w:uiPriority w:val="99"/>
    <w:semiHidden/>
    <w:rsid w:val="00904D7E"/>
    <w:rPr>
      <w:b/>
      <w:bCs/>
    </w:rPr>
  </w:style>
  <w:style w:type="paragraph" w:styleId="a9">
    <w:name w:val="Revision"/>
    <w:hidden/>
    <w:uiPriority w:val="99"/>
    <w:semiHidden/>
    <w:rsid w:val="00904D7E"/>
  </w:style>
  <w:style w:type="paragraph" w:styleId="aa">
    <w:name w:val="Balloon Text"/>
    <w:basedOn w:val="a"/>
    <w:link w:val="ab"/>
    <w:uiPriority w:val="99"/>
    <w:semiHidden/>
    <w:unhideWhenUsed/>
    <w:rsid w:val="00904D7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04D7E"/>
    <w:rPr>
      <w:rFonts w:asciiTheme="majorHAnsi" w:eastAsiaTheme="majorEastAsia" w:hAnsiTheme="majorHAnsi" w:cstheme="majorBidi"/>
      <w:sz w:val="18"/>
      <w:szCs w:val="18"/>
    </w:rPr>
  </w:style>
  <w:style w:type="paragraph" w:styleId="ac">
    <w:name w:val="header"/>
    <w:basedOn w:val="a"/>
    <w:link w:val="ad"/>
    <w:uiPriority w:val="99"/>
    <w:unhideWhenUsed/>
    <w:rsid w:val="00072406"/>
    <w:pPr>
      <w:tabs>
        <w:tab w:val="center" w:pos="4153"/>
        <w:tab w:val="right" w:pos="8306"/>
      </w:tabs>
      <w:snapToGrid w:val="0"/>
    </w:pPr>
    <w:rPr>
      <w:sz w:val="20"/>
      <w:szCs w:val="20"/>
    </w:rPr>
  </w:style>
  <w:style w:type="character" w:customStyle="1" w:styleId="ad">
    <w:name w:val="頁首 字元"/>
    <w:basedOn w:val="a0"/>
    <w:link w:val="ac"/>
    <w:uiPriority w:val="99"/>
    <w:rsid w:val="00072406"/>
    <w:rPr>
      <w:sz w:val="20"/>
      <w:szCs w:val="20"/>
    </w:rPr>
  </w:style>
  <w:style w:type="paragraph" w:styleId="ae">
    <w:name w:val="footer"/>
    <w:basedOn w:val="a"/>
    <w:link w:val="af"/>
    <w:uiPriority w:val="99"/>
    <w:unhideWhenUsed/>
    <w:rsid w:val="00072406"/>
    <w:pPr>
      <w:tabs>
        <w:tab w:val="center" w:pos="4153"/>
        <w:tab w:val="right" w:pos="8306"/>
      </w:tabs>
      <w:snapToGrid w:val="0"/>
    </w:pPr>
    <w:rPr>
      <w:sz w:val="20"/>
      <w:szCs w:val="20"/>
    </w:rPr>
  </w:style>
  <w:style w:type="character" w:customStyle="1" w:styleId="af">
    <w:name w:val="頁尾 字元"/>
    <w:basedOn w:val="a0"/>
    <w:link w:val="ae"/>
    <w:uiPriority w:val="99"/>
    <w:rsid w:val="00072406"/>
    <w:rPr>
      <w:sz w:val="20"/>
      <w:szCs w:val="20"/>
    </w:rPr>
  </w:style>
  <w:style w:type="paragraph" w:styleId="af0">
    <w:name w:val="List Paragraph"/>
    <w:basedOn w:val="a"/>
    <w:uiPriority w:val="34"/>
    <w:qFormat/>
    <w:rsid w:val="00072406"/>
    <w:pPr>
      <w:ind w:leftChars="200" w:left="480"/>
    </w:pPr>
  </w:style>
  <w:style w:type="table" w:styleId="af1">
    <w:name w:val="Table Grid"/>
    <w:basedOn w:val="a1"/>
    <w:uiPriority w:val="39"/>
    <w:rsid w:val="00014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BB3F20"/>
    <w:pPr>
      <w:snapToGrid w:val="0"/>
    </w:pPr>
    <w:rPr>
      <w:sz w:val="20"/>
      <w:szCs w:val="20"/>
    </w:rPr>
  </w:style>
  <w:style w:type="character" w:customStyle="1" w:styleId="af3">
    <w:name w:val="註腳文字 字元"/>
    <w:basedOn w:val="a0"/>
    <w:link w:val="af2"/>
    <w:uiPriority w:val="99"/>
    <w:semiHidden/>
    <w:rsid w:val="00BB3F20"/>
    <w:rPr>
      <w:sz w:val="20"/>
      <w:szCs w:val="20"/>
    </w:rPr>
  </w:style>
  <w:style w:type="character" w:styleId="af4">
    <w:name w:val="footnote reference"/>
    <w:basedOn w:val="a0"/>
    <w:uiPriority w:val="99"/>
    <w:semiHidden/>
    <w:unhideWhenUsed/>
    <w:rsid w:val="00BB3F20"/>
    <w:rPr>
      <w:vertAlign w:val="superscript"/>
    </w:rPr>
  </w:style>
  <w:style w:type="character" w:styleId="af5">
    <w:name w:val="Hyperlink"/>
    <w:basedOn w:val="a0"/>
    <w:uiPriority w:val="99"/>
    <w:unhideWhenUsed/>
    <w:rsid w:val="00BB3F20"/>
    <w:rPr>
      <w:color w:val="0563C1" w:themeColor="hyperlink"/>
      <w:u w:val="single"/>
    </w:rPr>
  </w:style>
  <w:style w:type="character" w:customStyle="1" w:styleId="UnresolvedMention">
    <w:name w:val="Unresolved Mention"/>
    <w:basedOn w:val="a0"/>
    <w:uiPriority w:val="99"/>
    <w:semiHidden/>
    <w:unhideWhenUsed/>
    <w:rsid w:val="00BB3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9747">
      <w:bodyDiv w:val="1"/>
      <w:marLeft w:val="0"/>
      <w:marRight w:val="0"/>
      <w:marTop w:val="0"/>
      <w:marBottom w:val="0"/>
      <w:divBdr>
        <w:top w:val="none" w:sz="0" w:space="0" w:color="auto"/>
        <w:left w:val="none" w:sz="0" w:space="0" w:color="auto"/>
        <w:bottom w:val="none" w:sz="0" w:space="0" w:color="auto"/>
        <w:right w:val="none" w:sz="0" w:space="0" w:color="auto"/>
      </w:divBdr>
    </w:div>
    <w:div w:id="480928853">
      <w:bodyDiv w:val="1"/>
      <w:marLeft w:val="0"/>
      <w:marRight w:val="0"/>
      <w:marTop w:val="0"/>
      <w:marBottom w:val="0"/>
      <w:divBdr>
        <w:top w:val="none" w:sz="0" w:space="0" w:color="auto"/>
        <w:left w:val="none" w:sz="0" w:space="0" w:color="auto"/>
        <w:bottom w:val="none" w:sz="0" w:space="0" w:color="auto"/>
        <w:right w:val="none" w:sz="0" w:space="0" w:color="auto"/>
      </w:divBdr>
    </w:div>
    <w:div w:id="653681714">
      <w:bodyDiv w:val="1"/>
      <w:marLeft w:val="0"/>
      <w:marRight w:val="0"/>
      <w:marTop w:val="0"/>
      <w:marBottom w:val="0"/>
      <w:divBdr>
        <w:top w:val="none" w:sz="0" w:space="0" w:color="auto"/>
        <w:left w:val="none" w:sz="0" w:space="0" w:color="auto"/>
        <w:bottom w:val="none" w:sz="0" w:space="0" w:color="auto"/>
        <w:right w:val="none" w:sz="0" w:space="0" w:color="auto"/>
      </w:divBdr>
    </w:div>
    <w:div w:id="816188027">
      <w:bodyDiv w:val="1"/>
      <w:marLeft w:val="0"/>
      <w:marRight w:val="0"/>
      <w:marTop w:val="0"/>
      <w:marBottom w:val="0"/>
      <w:divBdr>
        <w:top w:val="none" w:sz="0" w:space="0" w:color="auto"/>
        <w:left w:val="none" w:sz="0" w:space="0" w:color="auto"/>
        <w:bottom w:val="none" w:sz="0" w:space="0" w:color="auto"/>
        <w:right w:val="none" w:sz="0" w:space="0" w:color="auto"/>
      </w:divBdr>
    </w:div>
    <w:div w:id="161232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4A569-308F-44F7-9E24-FB75203CB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洪慧清</dc:creator>
  <cp:keywords/>
  <dc:description/>
  <cp:lastModifiedBy>User</cp:lastModifiedBy>
  <cp:revision>2</cp:revision>
  <dcterms:created xsi:type="dcterms:W3CDTF">2026-01-02T03:39:00Z</dcterms:created>
  <dcterms:modified xsi:type="dcterms:W3CDTF">2026-01-02T03:39:00Z</dcterms:modified>
</cp:coreProperties>
</file>